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F980C" w14:textId="77777777" w:rsidR="004F46EA" w:rsidRPr="00C4145D" w:rsidRDefault="004F46EA" w:rsidP="004F46EA">
      <w:pPr>
        <w:ind w:left="6237" w:firstLine="567"/>
        <w:jc w:val="right"/>
        <w:rPr>
          <w:rFonts w:ascii="Arial Narrow" w:hAnsi="Arial Narrow" w:cs="Arial"/>
          <w:sz w:val="22"/>
          <w:szCs w:val="22"/>
        </w:rPr>
      </w:pPr>
      <w:r w:rsidRPr="00C4145D">
        <w:rPr>
          <w:rFonts w:ascii="Arial Narrow" w:hAnsi="Arial Narrow" w:cs="Arial"/>
          <w:sz w:val="22"/>
          <w:szCs w:val="22"/>
        </w:rPr>
        <w:t>……./……/……</w:t>
      </w:r>
    </w:p>
    <w:p w14:paraId="6A38E9E3" w14:textId="77777777" w:rsidR="00B65133" w:rsidRPr="00C4145D" w:rsidRDefault="00B65133" w:rsidP="00557955">
      <w:pPr>
        <w:jc w:val="center"/>
        <w:rPr>
          <w:rFonts w:ascii="Arial Narrow" w:hAnsi="Arial Narrow" w:cs="Arial"/>
          <w:sz w:val="22"/>
          <w:szCs w:val="22"/>
          <w:lang w:val="tr-TR"/>
        </w:rPr>
      </w:pPr>
    </w:p>
    <w:p w14:paraId="2471881A" w14:textId="3F3B3B36" w:rsidR="00B65133" w:rsidRPr="00C4145D" w:rsidRDefault="00485336" w:rsidP="00B65133">
      <w:pPr>
        <w:jc w:val="center"/>
        <w:rPr>
          <w:rFonts w:ascii="Arial Narrow" w:hAnsi="Arial Narrow" w:cs="Arial"/>
          <w:sz w:val="22"/>
          <w:szCs w:val="22"/>
          <w:lang w:val="tr-TR"/>
        </w:rPr>
      </w:pPr>
      <w:r>
        <w:rPr>
          <w:rFonts w:ascii="Arial Narrow" w:hAnsi="Arial Narrow" w:cs="Arial"/>
          <w:sz w:val="22"/>
          <w:szCs w:val="22"/>
          <w:lang w:val="tr-TR"/>
        </w:rPr>
        <w:t xml:space="preserve">ÇINARLI MAH. ANADOLU 1. ÇIKMAZI CD. NO: 4 / KONAK </w:t>
      </w:r>
      <w:r w:rsidR="0062202C" w:rsidRPr="00C4145D">
        <w:rPr>
          <w:rFonts w:ascii="Arial Narrow" w:hAnsi="Arial Narrow" w:cs="Arial"/>
          <w:sz w:val="22"/>
          <w:szCs w:val="22"/>
          <w:lang w:val="tr-TR"/>
        </w:rPr>
        <w:t>.</w:t>
      </w:r>
      <w:r w:rsidR="00B65133" w:rsidRPr="00C4145D">
        <w:rPr>
          <w:rFonts w:ascii="Arial Narrow" w:hAnsi="Arial Narrow" w:cs="Arial"/>
          <w:sz w:val="22"/>
          <w:szCs w:val="22"/>
          <w:lang w:val="tr-TR"/>
        </w:rPr>
        <w:t xml:space="preserve">-İZMİR ADRESİNDE YER ALAN </w:t>
      </w:r>
    </w:p>
    <w:p w14:paraId="327F10BB" w14:textId="2DA5D65F" w:rsidR="00234F1B" w:rsidRPr="00C4145D" w:rsidRDefault="00B65133" w:rsidP="00234F1B">
      <w:pPr>
        <w:jc w:val="center"/>
        <w:rPr>
          <w:rFonts w:ascii="Arial Narrow" w:hAnsi="Arial Narrow" w:cs="Arial"/>
          <w:sz w:val="22"/>
          <w:szCs w:val="22"/>
          <w:lang w:val="tr-TR"/>
        </w:rPr>
      </w:pPr>
      <w:r w:rsidRPr="00C4145D">
        <w:rPr>
          <w:rFonts w:ascii="Arial Narrow" w:hAnsi="Arial Narrow" w:cs="Arial"/>
          <w:sz w:val="22"/>
          <w:szCs w:val="22"/>
          <w:lang w:val="tr-TR"/>
        </w:rPr>
        <w:t xml:space="preserve">İZMİR TİCARET </w:t>
      </w:r>
      <w:r w:rsidR="00234F1B" w:rsidRPr="00C4145D">
        <w:rPr>
          <w:rFonts w:ascii="Arial Narrow" w:hAnsi="Arial Narrow" w:cs="Arial"/>
          <w:sz w:val="22"/>
          <w:szCs w:val="22"/>
          <w:lang w:val="tr-TR"/>
        </w:rPr>
        <w:t xml:space="preserve">BORSASI ARSASI ÜZERİNDE YAPILACAK BİNAYA İLİŞKİN </w:t>
      </w:r>
      <w:r w:rsidR="0000741C" w:rsidRPr="00C4145D">
        <w:rPr>
          <w:rFonts w:ascii="Arial Narrow" w:hAnsi="Arial Narrow" w:cs="Arial"/>
          <w:sz w:val="22"/>
          <w:szCs w:val="22"/>
          <w:lang w:val="tr-TR"/>
        </w:rPr>
        <w:t xml:space="preserve">VE AYRICA </w:t>
      </w:r>
      <w:r w:rsidR="00485336">
        <w:rPr>
          <w:rFonts w:ascii="Arial Narrow" w:hAnsi="Arial Narrow" w:cs="Arial"/>
          <w:sz w:val="22"/>
          <w:szCs w:val="22"/>
          <w:lang w:val="tr-TR"/>
        </w:rPr>
        <w:t xml:space="preserve">GAZİ BULVARI NO:2 AKDENİZ MAH. KONAK / İZMİR </w:t>
      </w:r>
      <w:r w:rsidR="0000741C" w:rsidRPr="00C4145D">
        <w:rPr>
          <w:rFonts w:ascii="Arial Narrow" w:hAnsi="Arial Narrow" w:cs="Arial"/>
          <w:sz w:val="22"/>
          <w:szCs w:val="22"/>
          <w:lang w:val="tr-TR"/>
        </w:rPr>
        <w:t xml:space="preserve">ADRESİNDE YER ALAN İZMİR TİCARET BORSASI TARİHİ BORSA SARAYI </w:t>
      </w:r>
    </w:p>
    <w:p w14:paraId="4FB1B41E" w14:textId="77777777" w:rsidR="0004457B" w:rsidRPr="00C4145D" w:rsidRDefault="0000741C" w:rsidP="00234F1B">
      <w:pPr>
        <w:jc w:val="center"/>
        <w:rPr>
          <w:rFonts w:ascii="Arial Narrow" w:hAnsi="Arial Narrow" w:cs="Arial"/>
          <w:sz w:val="22"/>
          <w:szCs w:val="22"/>
          <w:lang w:val="tr-TR"/>
        </w:rPr>
      </w:pPr>
      <w:r w:rsidRPr="00C4145D">
        <w:rPr>
          <w:rFonts w:ascii="Arial Narrow" w:hAnsi="Arial Narrow" w:cs="Arial"/>
          <w:sz w:val="22"/>
          <w:szCs w:val="22"/>
          <w:lang w:val="tr-TR"/>
        </w:rPr>
        <w:t>İHALE ŞARTNAMELERİNİN</w:t>
      </w:r>
      <w:r w:rsidR="00234F1B" w:rsidRPr="00C4145D">
        <w:rPr>
          <w:rFonts w:ascii="Arial Narrow" w:hAnsi="Arial Narrow" w:cs="Arial"/>
          <w:sz w:val="22"/>
          <w:szCs w:val="22"/>
          <w:lang w:val="tr-TR"/>
        </w:rPr>
        <w:t xml:space="preserve"> </w:t>
      </w:r>
      <w:r w:rsidR="00B65133" w:rsidRPr="00C4145D">
        <w:rPr>
          <w:rFonts w:ascii="Arial Narrow" w:hAnsi="Arial Narrow" w:cs="Arial"/>
          <w:sz w:val="22"/>
          <w:szCs w:val="22"/>
          <w:lang w:val="tr-TR"/>
        </w:rPr>
        <w:t xml:space="preserve">HAZIRLANMASI </w:t>
      </w:r>
      <w:r w:rsidR="002672DE" w:rsidRPr="00C4145D">
        <w:rPr>
          <w:rFonts w:ascii="Arial Narrow" w:hAnsi="Arial Narrow" w:cs="Arial"/>
          <w:sz w:val="22"/>
          <w:szCs w:val="22"/>
          <w:lang w:val="tr-TR"/>
        </w:rPr>
        <w:t xml:space="preserve">ve </w:t>
      </w:r>
      <w:r w:rsidR="00234F1B" w:rsidRPr="00C4145D">
        <w:rPr>
          <w:rFonts w:ascii="Arial Narrow" w:hAnsi="Arial Narrow" w:cs="Arial"/>
          <w:sz w:val="22"/>
          <w:szCs w:val="22"/>
          <w:lang w:val="tr-TR"/>
        </w:rPr>
        <w:t>SÜREÇ YÖNETİMİ TEKLİF MEKTUBU</w:t>
      </w:r>
    </w:p>
    <w:p w14:paraId="6F57C919" w14:textId="77777777" w:rsidR="00685FEA" w:rsidRPr="00C4145D" w:rsidRDefault="00685FEA" w:rsidP="00685FEA">
      <w:pPr>
        <w:jc w:val="center"/>
        <w:rPr>
          <w:rFonts w:ascii="Arial Narrow" w:hAnsi="Arial Narrow" w:cs="Arial"/>
          <w:sz w:val="22"/>
          <w:szCs w:val="22"/>
          <w:lang w:val="tr-TR"/>
        </w:rPr>
      </w:pPr>
    </w:p>
    <w:p w14:paraId="15CABAFF" w14:textId="77777777" w:rsidR="00B65133" w:rsidRPr="00C4145D" w:rsidRDefault="00B65133" w:rsidP="004F46EA">
      <w:pPr>
        <w:jc w:val="center"/>
        <w:rPr>
          <w:rFonts w:ascii="Arial Narrow" w:hAnsi="Arial Narrow" w:cs="Arial"/>
          <w:sz w:val="22"/>
          <w:szCs w:val="22"/>
          <w:lang w:val="tr-TR"/>
        </w:rPr>
      </w:pPr>
    </w:p>
    <w:p w14:paraId="1D74864E" w14:textId="77777777" w:rsidR="004F46EA" w:rsidRPr="00C4145D" w:rsidRDefault="004F46EA" w:rsidP="004F46EA">
      <w:pPr>
        <w:jc w:val="center"/>
        <w:rPr>
          <w:rFonts w:ascii="Arial Narrow" w:hAnsi="Arial Narrow" w:cs="Arial"/>
          <w:sz w:val="22"/>
          <w:szCs w:val="22"/>
          <w:lang w:val="tr-TR"/>
        </w:rPr>
      </w:pPr>
      <w:r w:rsidRPr="00C4145D">
        <w:rPr>
          <w:rFonts w:ascii="Arial Narrow" w:hAnsi="Arial Narrow" w:cs="Arial"/>
          <w:sz w:val="22"/>
          <w:szCs w:val="22"/>
          <w:lang w:val="tr-TR"/>
        </w:rPr>
        <w:t xml:space="preserve">İZMİR TİCARET </w:t>
      </w:r>
      <w:r w:rsidR="00234F1B" w:rsidRPr="00C4145D">
        <w:rPr>
          <w:rFonts w:ascii="Arial Narrow" w:hAnsi="Arial Narrow" w:cs="Arial"/>
          <w:sz w:val="22"/>
          <w:szCs w:val="22"/>
          <w:lang w:val="tr-TR"/>
        </w:rPr>
        <w:t xml:space="preserve">BORSASI </w:t>
      </w:r>
      <w:r w:rsidRPr="00C4145D">
        <w:rPr>
          <w:rFonts w:ascii="Arial Narrow" w:hAnsi="Arial Narrow" w:cs="Arial"/>
          <w:sz w:val="22"/>
          <w:szCs w:val="22"/>
          <w:lang w:val="tr-TR"/>
        </w:rPr>
        <w:t>BAŞKANLIĞINA</w:t>
      </w:r>
    </w:p>
    <w:p w14:paraId="1A51249F" w14:textId="77777777" w:rsidR="004F46EA" w:rsidRPr="00C4145D" w:rsidRDefault="004F46EA" w:rsidP="004F46EA">
      <w:pPr>
        <w:jc w:val="center"/>
        <w:rPr>
          <w:rFonts w:ascii="Arial Narrow" w:hAnsi="Arial Narrow" w:cs="Arial"/>
          <w:sz w:val="22"/>
          <w:szCs w:val="22"/>
          <w:lang w:val="tr-TR"/>
        </w:rPr>
      </w:pPr>
    </w:p>
    <w:p w14:paraId="35F6A9C6" w14:textId="77777777" w:rsidR="004F46EA" w:rsidRPr="00C4145D" w:rsidRDefault="004F46EA" w:rsidP="004F46EA">
      <w:pPr>
        <w:rPr>
          <w:rFonts w:ascii="Arial Narrow" w:hAnsi="Arial Narrow" w:cs="Arial"/>
          <w:sz w:val="22"/>
          <w:szCs w:val="22"/>
          <w:lang w:val="tr-TR"/>
        </w:rPr>
      </w:pPr>
    </w:p>
    <w:p w14:paraId="52DBEBBE" w14:textId="77777777" w:rsidR="004F46EA" w:rsidRPr="00C4145D" w:rsidRDefault="00234F1B" w:rsidP="004F46EA">
      <w:pPr>
        <w:rPr>
          <w:rFonts w:ascii="Arial Narrow" w:hAnsi="Arial Narrow" w:cs="Arial"/>
          <w:sz w:val="22"/>
          <w:szCs w:val="22"/>
          <w:u w:val="single"/>
          <w:lang w:val="tr-TR"/>
        </w:rPr>
      </w:pPr>
      <w:r w:rsidRPr="00C4145D">
        <w:rPr>
          <w:rFonts w:ascii="Arial Narrow" w:hAnsi="Arial Narrow" w:cs="Arial"/>
          <w:sz w:val="22"/>
          <w:szCs w:val="22"/>
          <w:u w:val="single"/>
          <w:lang w:val="tr-TR"/>
        </w:rPr>
        <w:t>Teklif</w:t>
      </w:r>
      <w:r w:rsidR="004F46EA" w:rsidRPr="00C4145D">
        <w:rPr>
          <w:rFonts w:ascii="Arial Narrow" w:hAnsi="Arial Narrow" w:cs="Arial"/>
          <w:sz w:val="22"/>
          <w:szCs w:val="22"/>
          <w:u w:val="single"/>
          <w:lang w:val="tr-TR"/>
        </w:rPr>
        <w:t xml:space="preserve"> sahibinin;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6"/>
        <w:gridCol w:w="283"/>
        <w:gridCol w:w="4343"/>
      </w:tblGrid>
      <w:tr w:rsidR="004F46EA" w:rsidRPr="00C4145D" w14:paraId="57745F2B" w14:textId="77777777" w:rsidTr="004F46EA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EFB78E" w14:textId="77777777" w:rsidR="004F46EA" w:rsidRPr="00C4145D" w:rsidRDefault="004F46EA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lang w:val="tr-TR" w:eastAsia="en-US"/>
              </w:rPr>
            </w:pPr>
            <w:r w:rsidRPr="00C4145D">
              <w:rPr>
                <w:rFonts w:ascii="Arial Narrow" w:hAnsi="Arial Narrow" w:cs="Arial"/>
                <w:sz w:val="22"/>
                <w:szCs w:val="22"/>
                <w:lang w:val="tr-TR" w:eastAsia="en-US"/>
              </w:rPr>
              <w:t>Adı Soyadı / Ticari unvanı, Uyruğu</w:t>
            </w:r>
            <w:r w:rsidRPr="00C4145D">
              <w:rPr>
                <w:rFonts w:ascii="Arial Narrow" w:hAnsi="Arial Narrow" w:cs="Arial"/>
                <w:sz w:val="22"/>
                <w:szCs w:val="22"/>
                <w:lang w:val="tr-TR" w:eastAsia="en-US"/>
              </w:rPr>
              <w:tab/>
            </w:r>
            <w:r w:rsidRPr="00C4145D">
              <w:rPr>
                <w:rFonts w:ascii="Arial Narrow" w:hAnsi="Arial Narrow" w:cs="Arial"/>
                <w:sz w:val="22"/>
                <w:szCs w:val="22"/>
                <w:lang w:val="tr-TR" w:eastAsia="en-US"/>
              </w:rPr>
              <w:tab/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C61B320" w14:textId="77777777" w:rsidR="004F46EA" w:rsidRPr="00C4145D" w:rsidRDefault="004F46EA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lang w:val="tr-TR" w:eastAsia="en-US"/>
              </w:rPr>
            </w:pPr>
            <w:r w:rsidRPr="00C4145D">
              <w:rPr>
                <w:rFonts w:ascii="Arial Narrow" w:hAnsi="Arial Narrow" w:cs="Arial"/>
                <w:sz w:val="22"/>
                <w:szCs w:val="22"/>
                <w:lang w:val="tr-TR" w:eastAsia="en-US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21CC16" w14:textId="77777777" w:rsidR="004F46EA" w:rsidRPr="00C4145D" w:rsidRDefault="004F46EA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u w:val="single"/>
                <w:lang w:val="tr-TR" w:eastAsia="en-US"/>
              </w:rPr>
            </w:pPr>
          </w:p>
          <w:p w14:paraId="4A9F2C54" w14:textId="77777777" w:rsidR="004F46EA" w:rsidRPr="00C4145D" w:rsidRDefault="004F46EA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u w:val="single"/>
                <w:lang w:val="tr-TR" w:eastAsia="en-US"/>
              </w:rPr>
            </w:pPr>
          </w:p>
        </w:tc>
      </w:tr>
      <w:tr w:rsidR="004F46EA" w:rsidRPr="00C4145D" w14:paraId="4E4319B7" w14:textId="77777777" w:rsidTr="004F46EA">
        <w:trPr>
          <w:trHeight w:val="240"/>
        </w:trPr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73C77E" w14:textId="77777777" w:rsidR="004F46EA" w:rsidRPr="00C4145D" w:rsidRDefault="004F46EA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lang w:val="tr-TR" w:eastAsia="en-US"/>
              </w:rPr>
            </w:pPr>
            <w:r w:rsidRPr="00C4145D">
              <w:rPr>
                <w:rFonts w:ascii="Arial Narrow" w:hAnsi="Arial Narrow" w:cs="Arial"/>
                <w:sz w:val="22"/>
                <w:szCs w:val="22"/>
                <w:lang w:val="tr-TR" w:eastAsia="en-US"/>
              </w:rPr>
              <w:t>Tebligata esas açık adresi</w:t>
            </w:r>
            <w:r w:rsidRPr="00C4145D">
              <w:rPr>
                <w:rFonts w:ascii="Arial Narrow" w:hAnsi="Arial Narrow" w:cs="Arial"/>
                <w:sz w:val="22"/>
                <w:szCs w:val="22"/>
                <w:lang w:val="tr-TR" w:eastAsia="en-US"/>
              </w:rPr>
              <w:tab/>
            </w:r>
            <w:r w:rsidRPr="00C4145D">
              <w:rPr>
                <w:rFonts w:ascii="Arial Narrow" w:hAnsi="Arial Narrow" w:cs="Arial"/>
                <w:sz w:val="22"/>
                <w:szCs w:val="22"/>
                <w:lang w:val="tr-TR" w:eastAsia="en-US"/>
              </w:rPr>
              <w:tab/>
            </w:r>
            <w:r w:rsidRPr="00C4145D">
              <w:rPr>
                <w:rFonts w:ascii="Arial Narrow" w:hAnsi="Arial Narrow" w:cs="Arial"/>
                <w:sz w:val="22"/>
                <w:szCs w:val="22"/>
                <w:lang w:val="tr-TR" w:eastAsia="en-US"/>
              </w:rPr>
              <w:tab/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2B90291" w14:textId="77777777" w:rsidR="004F46EA" w:rsidRPr="00C4145D" w:rsidRDefault="004F46EA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lang w:val="tr-TR" w:eastAsia="en-US"/>
              </w:rPr>
            </w:pPr>
            <w:r w:rsidRPr="00C4145D">
              <w:rPr>
                <w:rFonts w:ascii="Arial Narrow" w:hAnsi="Arial Narrow" w:cs="Arial"/>
                <w:sz w:val="22"/>
                <w:szCs w:val="22"/>
                <w:lang w:val="tr-TR" w:eastAsia="en-US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A44DB1" w14:textId="77777777" w:rsidR="004F46EA" w:rsidRPr="00C4145D" w:rsidRDefault="004F46EA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u w:val="single"/>
                <w:lang w:val="tr-TR" w:eastAsia="en-US"/>
              </w:rPr>
            </w:pPr>
          </w:p>
          <w:p w14:paraId="1045510D" w14:textId="77777777" w:rsidR="004F46EA" w:rsidRPr="00C4145D" w:rsidRDefault="004F46EA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u w:val="single"/>
                <w:lang w:val="tr-TR" w:eastAsia="en-US"/>
              </w:rPr>
            </w:pPr>
          </w:p>
        </w:tc>
      </w:tr>
      <w:tr w:rsidR="004F46EA" w:rsidRPr="00C4145D" w14:paraId="2DF8EC15" w14:textId="77777777" w:rsidTr="004F46EA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F3E71F2" w14:textId="77777777" w:rsidR="004F46EA" w:rsidRPr="00C4145D" w:rsidRDefault="004F46EA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lang w:val="tr-TR" w:eastAsia="en-US"/>
              </w:rPr>
            </w:pPr>
            <w:r w:rsidRPr="00C4145D">
              <w:rPr>
                <w:rFonts w:ascii="Arial Narrow" w:hAnsi="Arial Narrow" w:cs="Arial"/>
                <w:sz w:val="22"/>
                <w:szCs w:val="22"/>
                <w:lang w:val="tr-TR" w:eastAsia="en-US"/>
              </w:rPr>
              <w:t xml:space="preserve">Bağlı olduğu vergi dairesi ve vergi numarası                      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9A64368" w14:textId="77777777" w:rsidR="004F46EA" w:rsidRPr="00C4145D" w:rsidRDefault="004F46EA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lang w:val="tr-TR" w:eastAsia="en-US"/>
              </w:rPr>
            </w:pPr>
            <w:r w:rsidRPr="00C4145D">
              <w:rPr>
                <w:rFonts w:ascii="Arial Narrow" w:hAnsi="Arial Narrow" w:cs="Arial"/>
                <w:sz w:val="22"/>
                <w:szCs w:val="22"/>
                <w:lang w:val="tr-TR" w:eastAsia="en-US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74B53D" w14:textId="77777777" w:rsidR="004F46EA" w:rsidRPr="00C4145D" w:rsidRDefault="004F46EA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u w:val="single"/>
                <w:lang w:val="tr-TR" w:eastAsia="en-US"/>
              </w:rPr>
            </w:pPr>
          </w:p>
          <w:p w14:paraId="0A59B171" w14:textId="77777777" w:rsidR="004F46EA" w:rsidRPr="00C4145D" w:rsidRDefault="004F46EA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u w:val="single"/>
                <w:lang w:val="tr-TR" w:eastAsia="en-US"/>
              </w:rPr>
            </w:pPr>
          </w:p>
        </w:tc>
      </w:tr>
      <w:tr w:rsidR="004F46EA" w:rsidRPr="00C4145D" w14:paraId="4F1AD34A" w14:textId="77777777" w:rsidTr="004F46EA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185A5AA" w14:textId="77777777" w:rsidR="004F46EA" w:rsidRPr="00C4145D" w:rsidRDefault="004F46EA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lang w:val="tr-TR" w:eastAsia="en-US"/>
              </w:rPr>
            </w:pPr>
            <w:r w:rsidRPr="00C4145D">
              <w:rPr>
                <w:rFonts w:ascii="Arial Narrow" w:hAnsi="Arial Narrow" w:cs="Arial"/>
                <w:sz w:val="22"/>
                <w:szCs w:val="22"/>
                <w:lang w:val="tr-TR" w:eastAsia="en-US"/>
              </w:rPr>
              <w:t>Telefon ve faks numarası</w:t>
            </w:r>
            <w:r w:rsidRPr="00C4145D">
              <w:rPr>
                <w:rFonts w:ascii="Arial Narrow" w:hAnsi="Arial Narrow" w:cs="Arial"/>
                <w:sz w:val="22"/>
                <w:szCs w:val="22"/>
                <w:lang w:val="tr-TR" w:eastAsia="en-US"/>
              </w:rPr>
              <w:tab/>
            </w:r>
            <w:r w:rsidRPr="00C4145D">
              <w:rPr>
                <w:rFonts w:ascii="Arial Narrow" w:hAnsi="Arial Narrow" w:cs="Arial"/>
                <w:sz w:val="22"/>
                <w:szCs w:val="22"/>
                <w:lang w:val="tr-TR" w:eastAsia="en-US"/>
              </w:rPr>
              <w:tab/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F3141E6" w14:textId="77777777" w:rsidR="004F46EA" w:rsidRPr="00C4145D" w:rsidRDefault="004F46EA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lang w:val="tr-TR" w:eastAsia="en-US"/>
              </w:rPr>
            </w:pPr>
            <w:r w:rsidRPr="00C4145D">
              <w:rPr>
                <w:rFonts w:ascii="Arial Narrow" w:hAnsi="Arial Narrow" w:cs="Arial"/>
                <w:sz w:val="22"/>
                <w:szCs w:val="22"/>
                <w:lang w:val="tr-TR" w:eastAsia="en-US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B9F7E8" w14:textId="77777777" w:rsidR="004F46EA" w:rsidRPr="00C4145D" w:rsidRDefault="004F46EA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u w:val="single"/>
                <w:lang w:val="tr-TR" w:eastAsia="en-US"/>
              </w:rPr>
            </w:pPr>
          </w:p>
          <w:p w14:paraId="7C6879EF" w14:textId="77777777" w:rsidR="004F46EA" w:rsidRPr="00C4145D" w:rsidRDefault="004F46EA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u w:val="single"/>
                <w:lang w:val="tr-TR" w:eastAsia="en-US"/>
              </w:rPr>
            </w:pPr>
          </w:p>
        </w:tc>
      </w:tr>
      <w:tr w:rsidR="004F46EA" w:rsidRPr="00C4145D" w14:paraId="7C71B3B9" w14:textId="77777777" w:rsidTr="004F46EA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289553" w14:textId="77777777" w:rsidR="004F46EA" w:rsidRPr="00C4145D" w:rsidRDefault="004F46EA" w:rsidP="00234F1B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lang w:val="tr-TR" w:eastAsia="en-US"/>
              </w:rPr>
            </w:pPr>
            <w:r w:rsidRPr="00C4145D">
              <w:rPr>
                <w:rFonts w:ascii="Arial Narrow" w:hAnsi="Arial Narrow" w:cs="Arial"/>
                <w:sz w:val="22"/>
                <w:szCs w:val="22"/>
                <w:lang w:val="tr-TR" w:eastAsia="en-US"/>
              </w:rPr>
              <w:t>Elektronik posta adresi</w:t>
            </w:r>
            <w:r w:rsidRPr="00C4145D">
              <w:rPr>
                <w:rFonts w:ascii="Arial Narrow" w:hAnsi="Arial Narrow" w:cs="Arial"/>
                <w:sz w:val="22"/>
                <w:szCs w:val="22"/>
                <w:lang w:val="tr-TR" w:eastAsia="en-US"/>
              </w:rPr>
              <w:tab/>
            </w:r>
            <w:r w:rsidRPr="00C4145D">
              <w:rPr>
                <w:rFonts w:ascii="Arial Narrow" w:hAnsi="Arial Narrow" w:cs="Arial"/>
                <w:sz w:val="22"/>
                <w:szCs w:val="22"/>
                <w:lang w:val="tr-TR" w:eastAsia="en-US"/>
              </w:rPr>
              <w:tab/>
              <w:t xml:space="preserve">                      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6F56A04" w14:textId="77777777" w:rsidR="004F46EA" w:rsidRPr="00C4145D" w:rsidRDefault="004F46EA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lang w:val="tr-TR" w:eastAsia="en-US"/>
              </w:rPr>
            </w:pPr>
            <w:r w:rsidRPr="00C4145D">
              <w:rPr>
                <w:rFonts w:ascii="Arial Narrow" w:hAnsi="Arial Narrow" w:cs="Arial"/>
                <w:sz w:val="22"/>
                <w:szCs w:val="22"/>
                <w:lang w:val="tr-TR" w:eastAsia="en-US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F105A1" w14:textId="77777777" w:rsidR="004F46EA" w:rsidRPr="00C4145D" w:rsidRDefault="004F46EA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u w:val="single"/>
                <w:lang w:val="tr-TR" w:eastAsia="en-US"/>
              </w:rPr>
            </w:pPr>
          </w:p>
        </w:tc>
      </w:tr>
    </w:tbl>
    <w:p w14:paraId="3108AFED" w14:textId="77777777" w:rsidR="004F46EA" w:rsidRPr="00C4145D" w:rsidRDefault="004F46EA" w:rsidP="004F46EA">
      <w:pPr>
        <w:rPr>
          <w:rFonts w:ascii="Arial Narrow" w:hAnsi="Arial Narrow"/>
          <w:sz w:val="22"/>
          <w:szCs w:val="22"/>
          <w:lang w:val="tr-TR"/>
        </w:rPr>
      </w:pPr>
    </w:p>
    <w:p w14:paraId="3551EA58" w14:textId="77777777" w:rsidR="00C07E06" w:rsidRPr="00C4145D" w:rsidRDefault="00C07E06" w:rsidP="00685FEA">
      <w:pPr>
        <w:jc w:val="both"/>
        <w:rPr>
          <w:rFonts w:ascii="Arial Narrow" w:hAnsi="Arial Narrow" w:cs="Arial"/>
          <w:sz w:val="22"/>
          <w:szCs w:val="22"/>
          <w:lang w:val="tr-TR"/>
        </w:rPr>
      </w:pPr>
    </w:p>
    <w:p w14:paraId="2298043E" w14:textId="319C122E" w:rsidR="00234F1B" w:rsidRPr="00C4145D" w:rsidRDefault="004F46EA" w:rsidP="0000741C">
      <w:pPr>
        <w:pStyle w:val="ListeParagraf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C4145D">
        <w:rPr>
          <w:rFonts w:ascii="Arial Narrow" w:hAnsi="Arial Narrow" w:cs="Arial"/>
          <w:sz w:val="22"/>
          <w:szCs w:val="22"/>
        </w:rPr>
        <w:t xml:space="preserve">İdarenizce ihalesi yapılacak olan </w:t>
      </w:r>
      <w:r w:rsidR="0023143A" w:rsidRPr="00C4145D">
        <w:rPr>
          <w:rFonts w:ascii="Arial Narrow" w:hAnsi="Arial Narrow" w:cs="Arial"/>
          <w:sz w:val="22"/>
          <w:szCs w:val="22"/>
        </w:rPr>
        <w:t>İzmir Ticaret</w:t>
      </w:r>
      <w:r w:rsidR="00234F1B" w:rsidRPr="00C4145D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234F1B" w:rsidRPr="00C4145D">
        <w:rPr>
          <w:rFonts w:ascii="Arial Narrow" w:hAnsi="Arial Narrow" w:cs="Arial"/>
          <w:sz w:val="22"/>
          <w:szCs w:val="22"/>
        </w:rPr>
        <w:t xml:space="preserve">Borsası </w:t>
      </w:r>
      <w:r w:rsidR="0023143A" w:rsidRPr="00C4145D">
        <w:rPr>
          <w:rFonts w:ascii="Arial Narrow" w:hAnsi="Arial Narrow" w:cs="Arial"/>
          <w:sz w:val="22"/>
          <w:szCs w:val="22"/>
        </w:rPr>
        <w:t xml:space="preserve"> </w:t>
      </w:r>
      <w:bookmarkStart w:id="0" w:name="_GoBack"/>
      <w:bookmarkEnd w:id="0"/>
      <w:r w:rsidR="0023143A" w:rsidRPr="00C4145D">
        <w:rPr>
          <w:rFonts w:ascii="Arial Narrow" w:hAnsi="Arial Narrow" w:cs="Arial"/>
          <w:sz w:val="22"/>
          <w:szCs w:val="22"/>
        </w:rPr>
        <w:t>mülkiyetinde</w:t>
      </w:r>
      <w:proofErr w:type="gramEnd"/>
      <w:r w:rsidR="00234F1B" w:rsidRPr="00C4145D">
        <w:rPr>
          <w:rFonts w:ascii="Arial Narrow" w:hAnsi="Arial Narrow" w:cs="Arial"/>
          <w:sz w:val="22"/>
          <w:szCs w:val="22"/>
        </w:rPr>
        <w:t xml:space="preserve"> bulunan tapunun İzmir ili </w:t>
      </w:r>
      <w:r w:rsidR="00485336">
        <w:rPr>
          <w:rFonts w:ascii="Arial Narrow" w:hAnsi="Arial Narrow" w:cs="Arial"/>
          <w:sz w:val="22"/>
          <w:szCs w:val="22"/>
        </w:rPr>
        <w:t xml:space="preserve">Konak </w:t>
      </w:r>
      <w:r w:rsidR="0023143A" w:rsidRPr="00C4145D">
        <w:rPr>
          <w:rFonts w:ascii="Arial Narrow" w:hAnsi="Arial Narrow" w:cs="Arial"/>
          <w:sz w:val="22"/>
          <w:szCs w:val="22"/>
        </w:rPr>
        <w:t xml:space="preserve">ilçesi </w:t>
      </w:r>
      <w:r w:rsidR="00485336">
        <w:rPr>
          <w:rFonts w:ascii="Arial Narrow" w:hAnsi="Arial Narrow" w:cs="Arial"/>
          <w:sz w:val="22"/>
          <w:szCs w:val="22"/>
        </w:rPr>
        <w:t xml:space="preserve">294 </w:t>
      </w:r>
      <w:r w:rsidR="0023143A" w:rsidRPr="00C4145D">
        <w:rPr>
          <w:rFonts w:ascii="Arial Narrow" w:hAnsi="Arial Narrow" w:cs="Arial"/>
          <w:sz w:val="22"/>
          <w:szCs w:val="22"/>
        </w:rPr>
        <w:t xml:space="preserve">pafta </w:t>
      </w:r>
      <w:r w:rsidR="00485336">
        <w:rPr>
          <w:rFonts w:ascii="Arial Narrow" w:hAnsi="Arial Narrow" w:cs="Arial"/>
          <w:sz w:val="22"/>
          <w:szCs w:val="22"/>
        </w:rPr>
        <w:t>1489</w:t>
      </w:r>
      <w:r w:rsidR="0023143A" w:rsidRPr="00C4145D">
        <w:rPr>
          <w:rFonts w:ascii="Arial Narrow" w:hAnsi="Arial Narrow" w:cs="Arial"/>
          <w:sz w:val="22"/>
          <w:szCs w:val="22"/>
        </w:rPr>
        <w:t xml:space="preserve"> ada </w:t>
      </w:r>
      <w:r w:rsidR="00485336">
        <w:rPr>
          <w:rFonts w:ascii="Arial Narrow" w:hAnsi="Arial Narrow" w:cs="Arial"/>
          <w:sz w:val="22"/>
          <w:szCs w:val="22"/>
        </w:rPr>
        <w:t>26</w:t>
      </w:r>
      <w:r w:rsidR="00234F1B" w:rsidRPr="00C4145D">
        <w:rPr>
          <w:rFonts w:ascii="Arial Narrow" w:hAnsi="Arial Narrow" w:cs="Arial"/>
          <w:sz w:val="22"/>
          <w:szCs w:val="22"/>
        </w:rPr>
        <w:t xml:space="preserve"> parsel numarasına kayıtlı arsanın İzmir Ticaret Borsası tarafından kat karşılığı ihaleye çıkarılması ile ilgili olarak; </w:t>
      </w:r>
    </w:p>
    <w:p w14:paraId="3CE782EF" w14:textId="77777777" w:rsidR="00234F1B" w:rsidRPr="00C4145D" w:rsidRDefault="00234F1B" w:rsidP="00685FEA">
      <w:pPr>
        <w:jc w:val="both"/>
        <w:rPr>
          <w:rFonts w:ascii="Arial Narrow" w:hAnsi="Arial Narrow" w:cs="Arial"/>
          <w:sz w:val="22"/>
          <w:szCs w:val="22"/>
          <w:lang w:val="tr-TR"/>
        </w:rPr>
      </w:pPr>
    </w:p>
    <w:p w14:paraId="1896DE72" w14:textId="77777777" w:rsidR="004F46EA" w:rsidRPr="00C4145D" w:rsidRDefault="00234F1B" w:rsidP="00685FEA">
      <w:pPr>
        <w:jc w:val="both"/>
        <w:rPr>
          <w:rFonts w:ascii="Arial Narrow" w:hAnsi="Arial Narrow" w:cs="Arial"/>
          <w:sz w:val="22"/>
          <w:szCs w:val="22"/>
          <w:lang w:val="tr-TR"/>
        </w:rPr>
      </w:pPr>
      <w:r w:rsidRPr="00C4145D">
        <w:rPr>
          <w:rFonts w:ascii="Arial Narrow" w:hAnsi="Arial Narrow" w:cs="Arial"/>
          <w:sz w:val="22"/>
          <w:szCs w:val="22"/>
          <w:lang w:val="tr-TR"/>
        </w:rPr>
        <w:t xml:space="preserve">- Kat Karşılığı anahtar teslim yapılması planlanan binaya ilişkin ihale şartnamesinin belirlenen mimari projeye göre; teknik, idari ve hukuki olarak ihaleye çıkılacak şekilde eksiksiz olarak İhale şartnamesinin hazırlanması, ihale süresi, teklif süreci ve tekliflerin değerlendirilmesi aşamalarında danışmanlık hizmeti verilmesi </w:t>
      </w:r>
      <w:r w:rsidR="00BC18EC" w:rsidRPr="00C4145D">
        <w:rPr>
          <w:rFonts w:ascii="Arial Narrow" w:hAnsi="Arial Narrow" w:cs="Arial"/>
          <w:sz w:val="22"/>
          <w:szCs w:val="22"/>
          <w:lang w:val="tr-TR"/>
        </w:rPr>
        <w:t>i</w:t>
      </w:r>
      <w:r w:rsidR="00AA5DE8" w:rsidRPr="00C4145D">
        <w:rPr>
          <w:rFonts w:ascii="Arial Narrow" w:hAnsi="Arial Narrow" w:cs="Arial"/>
          <w:sz w:val="22"/>
          <w:szCs w:val="22"/>
          <w:lang w:val="tr-TR"/>
        </w:rPr>
        <w:t>şlerine</w:t>
      </w:r>
      <w:r w:rsidR="00BC18EC" w:rsidRPr="00C4145D">
        <w:rPr>
          <w:rFonts w:ascii="Arial Narrow" w:hAnsi="Arial Narrow" w:cs="Arial"/>
          <w:sz w:val="22"/>
          <w:szCs w:val="22"/>
          <w:lang w:val="tr-TR"/>
        </w:rPr>
        <w:t xml:space="preserve"> </w:t>
      </w:r>
      <w:r w:rsidR="00463E3B" w:rsidRPr="00C4145D">
        <w:rPr>
          <w:rFonts w:ascii="Arial Narrow" w:hAnsi="Arial Narrow" w:cs="Arial"/>
          <w:sz w:val="22"/>
          <w:szCs w:val="22"/>
          <w:lang w:val="tr-TR"/>
        </w:rPr>
        <w:t xml:space="preserve">ait </w:t>
      </w:r>
      <w:r w:rsidRPr="00C4145D">
        <w:rPr>
          <w:rFonts w:ascii="Arial Narrow" w:hAnsi="Arial Narrow" w:cs="Arial"/>
          <w:sz w:val="22"/>
          <w:szCs w:val="22"/>
          <w:lang w:val="tr-TR"/>
        </w:rPr>
        <w:t xml:space="preserve">koşulları okuduk </w:t>
      </w:r>
      <w:proofErr w:type="gramStart"/>
      <w:r w:rsidRPr="00C4145D">
        <w:rPr>
          <w:rFonts w:ascii="Arial Narrow" w:hAnsi="Arial Narrow" w:cs="Arial"/>
          <w:sz w:val="22"/>
          <w:szCs w:val="22"/>
          <w:lang w:val="tr-TR"/>
        </w:rPr>
        <w:t>ve</w:t>
      </w:r>
      <w:proofErr w:type="gramEnd"/>
      <w:r w:rsidRPr="00C4145D">
        <w:rPr>
          <w:rFonts w:ascii="Arial Narrow" w:hAnsi="Arial Narrow" w:cs="Arial"/>
          <w:sz w:val="22"/>
          <w:szCs w:val="22"/>
          <w:lang w:val="tr-TR"/>
        </w:rPr>
        <w:t xml:space="preserve"> anladık. </w:t>
      </w:r>
      <w:r w:rsidR="004F46EA" w:rsidRPr="00C4145D">
        <w:rPr>
          <w:rFonts w:ascii="Arial Narrow" w:hAnsi="Arial Narrow" w:cs="Arial"/>
          <w:sz w:val="22"/>
          <w:szCs w:val="22"/>
          <w:lang w:val="tr-TR"/>
        </w:rPr>
        <w:t>İşlerin yapılacağı yerleri ve çevresini gördük, herhangi bir ayrım ve sınırlama yapılmadan bütün şartları kabul ediyoruz.</w:t>
      </w:r>
      <w:r w:rsidR="00463E3B" w:rsidRPr="00C4145D">
        <w:rPr>
          <w:rFonts w:ascii="Arial Narrow" w:hAnsi="Arial Narrow" w:cs="Arial"/>
          <w:sz w:val="22"/>
          <w:szCs w:val="22"/>
          <w:lang w:val="tr-TR"/>
        </w:rPr>
        <w:t xml:space="preserve"> </w:t>
      </w:r>
    </w:p>
    <w:p w14:paraId="6EE08A29" w14:textId="77777777" w:rsidR="00C07E06" w:rsidRPr="00C4145D" w:rsidRDefault="00C07E06" w:rsidP="00685FEA">
      <w:pPr>
        <w:jc w:val="both"/>
        <w:rPr>
          <w:rFonts w:ascii="Arial Narrow" w:hAnsi="Arial Narrow" w:cs="Arial"/>
          <w:sz w:val="22"/>
          <w:szCs w:val="22"/>
          <w:lang w:val="tr-TR"/>
        </w:rPr>
      </w:pPr>
    </w:p>
    <w:p w14:paraId="3721436D" w14:textId="77777777" w:rsidR="0000741C" w:rsidRPr="00C4145D" w:rsidRDefault="004F46EA" w:rsidP="0000741C">
      <w:pPr>
        <w:pStyle w:val="ListeParagraf"/>
        <w:numPr>
          <w:ilvl w:val="1"/>
          <w:numId w:val="2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C4145D">
        <w:rPr>
          <w:rFonts w:ascii="Arial Narrow" w:hAnsi="Arial Narrow" w:cs="Arial"/>
          <w:sz w:val="22"/>
          <w:szCs w:val="22"/>
        </w:rPr>
        <w:t xml:space="preserve">Söz konusu işi KDV Dahil </w:t>
      </w:r>
      <w:proofErr w:type="gramStart"/>
      <w:r w:rsidRPr="00C4145D">
        <w:rPr>
          <w:rFonts w:ascii="Arial Narrow" w:hAnsi="Arial Narrow" w:cs="Arial"/>
          <w:sz w:val="22"/>
          <w:szCs w:val="22"/>
        </w:rPr>
        <w:t>..............................</w:t>
      </w:r>
      <w:proofErr w:type="gramEnd"/>
      <w:r w:rsidRPr="00C4145D">
        <w:rPr>
          <w:rFonts w:ascii="Arial Narrow" w:hAnsi="Arial Narrow" w:cs="Arial"/>
          <w:sz w:val="22"/>
          <w:szCs w:val="22"/>
        </w:rPr>
        <w:t xml:space="preserve">(.................................................) bedel üzerinden </w:t>
      </w:r>
      <w:r w:rsidR="00234F1B" w:rsidRPr="00C4145D">
        <w:rPr>
          <w:rFonts w:ascii="Arial Narrow" w:hAnsi="Arial Narrow" w:cs="Arial"/>
          <w:sz w:val="22"/>
          <w:szCs w:val="22"/>
        </w:rPr>
        <w:t xml:space="preserve">herhangi bir ek bedel talep etmeksizin </w:t>
      </w:r>
      <w:r w:rsidRPr="00C4145D">
        <w:rPr>
          <w:rFonts w:ascii="Arial Narrow" w:hAnsi="Arial Narrow" w:cs="Arial"/>
          <w:sz w:val="22"/>
          <w:szCs w:val="22"/>
        </w:rPr>
        <w:t>yapmayı kabul ve taahhüt ederiz.</w:t>
      </w:r>
    </w:p>
    <w:p w14:paraId="1224823E" w14:textId="77777777" w:rsidR="004F46EA" w:rsidRPr="00C4145D" w:rsidRDefault="004F46EA" w:rsidP="0000741C">
      <w:pPr>
        <w:pStyle w:val="ListeParagraf"/>
        <w:numPr>
          <w:ilvl w:val="1"/>
          <w:numId w:val="2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C4145D">
        <w:rPr>
          <w:rFonts w:ascii="Arial Narrow" w:hAnsi="Arial Narrow" w:cs="Arial"/>
          <w:sz w:val="22"/>
          <w:szCs w:val="22"/>
        </w:rPr>
        <w:t>Teklifimiz, ihale tarihinden itibaren</w:t>
      </w:r>
      <w:r w:rsidRPr="00C4145D">
        <w:rPr>
          <w:rFonts w:ascii="Arial Narrow" w:hAnsi="Arial Narrow"/>
          <w:color w:val="808080"/>
          <w:sz w:val="22"/>
          <w:szCs w:val="22"/>
        </w:rPr>
        <w:t xml:space="preserve"> </w:t>
      </w:r>
      <w:r w:rsidRPr="00C4145D">
        <w:rPr>
          <w:rFonts w:ascii="Arial Narrow" w:hAnsi="Arial Narrow" w:cs="Arial"/>
          <w:sz w:val="22"/>
          <w:szCs w:val="22"/>
        </w:rPr>
        <w:t>60 (altmış) takvim günü geçerlidir.</w:t>
      </w:r>
    </w:p>
    <w:p w14:paraId="1DA54F9B" w14:textId="77777777" w:rsidR="0000741C" w:rsidRPr="00C4145D" w:rsidRDefault="0000741C" w:rsidP="0000741C">
      <w:pPr>
        <w:pStyle w:val="ListeParagraf"/>
        <w:ind w:left="72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69EBA0EF" w14:textId="518AD707" w:rsidR="0000741C" w:rsidRPr="00C4145D" w:rsidRDefault="0000741C" w:rsidP="0000741C">
      <w:pPr>
        <w:pStyle w:val="ListeParagraf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C4145D">
        <w:rPr>
          <w:rFonts w:ascii="Arial Narrow" w:hAnsi="Arial Narrow" w:cs="Arial"/>
          <w:sz w:val="22"/>
          <w:szCs w:val="22"/>
        </w:rPr>
        <w:t xml:space="preserve">İdarenizce ihalesi yapılacak olan İzmir Ticaret Borsası  </w:t>
      </w:r>
      <w:proofErr w:type="gramStart"/>
      <w:r w:rsidRPr="00C4145D">
        <w:rPr>
          <w:rFonts w:ascii="Arial Narrow" w:hAnsi="Arial Narrow" w:cs="Arial"/>
          <w:sz w:val="22"/>
          <w:szCs w:val="22"/>
        </w:rPr>
        <w:t>…………………..</w:t>
      </w:r>
      <w:proofErr w:type="gramEnd"/>
      <w:r w:rsidRPr="00C4145D">
        <w:rPr>
          <w:rFonts w:ascii="Arial Narrow" w:hAnsi="Arial Narrow" w:cs="Arial"/>
          <w:sz w:val="22"/>
          <w:szCs w:val="22"/>
        </w:rPr>
        <w:t xml:space="preserve"> mülkiyetinde bulunan tapunun İzmir ili</w:t>
      </w:r>
      <w:r w:rsidR="00485336">
        <w:rPr>
          <w:rFonts w:ascii="Arial Narrow" w:hAnsi="Arial Narrow" w:cs="Arial"/>
          <w:sz w:val="22"/>
          <w:szCs w:val="22"/>
        </w:rPr>
        <w:t xml:space="preserve"> Konak</w:t>
      </w:r>
      <w:r w:rsidRPr="00C4145D">
        <w:rPr>
          <w:rFonts w:ascii="Arial Narrow" w:hAnsi="Arial Narrow" w:cs="Arial"/>
          <w:sz w:val="22"/>
          <w:szCs w:val="22"/>
        </w:rPr>
        <w:t xml:space="preserve"> ilçesi </w:t>
      </w:r>
      <w:r w:rsidR="00485336">
        <w:rPr>
          <w:rFonts w:ascii="Arial Narrow" w:hAnsi="Arial Narrow" w:cs="Arial"/>
          <w:sz w:val="22"/>
          <w:szCs w:val="22"/>
        </w:rPr>
        <w:t xml:space="preserve">77 </w:t>
      </w:r>
      <w:r w:rsidRPr="00C4145D">
        <w:rPr>
          <w:rFonts w:ascii="Arial Narrow" w:hAnsi="Arial Narrow" w:cs="Arial"/>
          <w:sz w:val="22"/>
          <w:szCs w:val="22"/>
        </w:rPr>
        <w:t xml:space="preserve">pafta </w:t>
      </w:r>
      <w:r w:rsidR="00485336">
        <w:rPr>
          <w:rFonts w:ascii="Arial Narrow" w:hAnsi="Arial Narrow" w:cs="Arial"/>
          <w:sz w:val="22"/>
          <w:szCs w:val="22"/>
        </w:rPr>
        <w:t>971</w:t>
      </w:r>
      <w:r w:rsidRPr="00C4145D">
        <w:rPr>
          <w:rFonts w:ascii="Arial Narrow" w:hAnsi="Arial Narrow" w:cs="Arial"/>
          <w:sz w:val="22"/>
          <w:szCs w:val="22"/>
        </w:rPr>
        <w:t xml:space="preserve"> ada </w:t>
      </w:r>
      <w:r w:rsidR="00485336">
        <w:rPr>
          <w:rFonts w:ascii="Arial Narrow" w:hAnsi="Arial Narrow" w:cs="Arial"/>
          <w:sz w:val="22"/>
          <w:szCs w:val="22"/>
        </w:rPr>
        <w:t>9</w:t>
      </w:r>
      <w:r w:rsidRPr="00C4145D">
        <w:rPr>
          <w:rFonts w:ascii="Arial Narrow" w:hAnsi="Arial Narrow" w:cs="Arial"/>
          <w:sz w:val="22"/>
          <w:szCs w:val="22"/>
        </w:rPr>
        <w:t xml:space="preserve"> parsel numarasına kayıtlı tescilli İzmir Ticaret Borsası Borsa Sarayı’nın İzmir Ticaret Borsası tarafından </w:t>
      </w:r>
      <w:proofErr w:type="gramStart"/>
      <w:r w:rsidRPr="00C4145D">
        <w:rPr>
          <w:rFonts w:ascii="Arial Narrow" w:hAnsi="Arial Narrow" w:cs="Arial"/>
          <w:sz w:val="22"/>
          <w:szCs w:val="22"/>
        </w:rPr>
        <w:t>restorasyon</w:t>
      </w:r>
      <w:proofErr w:type="gramEnd"/>
      <w:r w:rsidRPr="00C4145D">
        <w:rPr>
          <w:rFonts w:ascii="Arial Narrow" w:hAnsi="Arial Narrow" w:cs="Arial"/>
          <w:sz w:val="22"/>
          <w:szCs w:val="22"/>
        </w:rPr>
        <w:t xml:space="preserve"> ve uygulama amaçlı ihaleye çıkarılması ile ilgili olarak; </w:t>
      </w:r>
    </w:p>
    <w:p w14:paraId="0F89D070" w14:textId="77777777" w:rsidR="0000741C" w:rsidRPr="00C4145D" w:rsidRDefault="0000741C" w:rsidP="0000741C">
      <w:pPr>
        <w:jc w:val="both"/>
        <w:rPr>
          <w:rFonts w:ascii="Arial Narrow" w:hAnsi="Arial Narrow" w:cs="Arial"/>
          <w:sz w:val="22"/>
          <w:szCs w:val="22"/>
        </w:rPr>
      </w:pPr>
      <w:r w:rsidRPr="00C4145D">
        <w:rPr>
          <w:rFonts w:ascii="Arial Narrow" w:hAnsi="Arial Narrow" w:cs="Arial"/>
          <w:sz w:val="22"/>
          <w:szCs w:val="22"/>
        </w:rPr>
        <w:t xml:space="preserve">- </w:t>
      </w:r>
      <w:r w:rsidR="00C4145D">
        <w:rPr>
          <w:rFonts w:ascii="Arial Narrow" w:hAnsi="Arial Narrow" w:cs="Arial"/>
          <w:sz w:val="22"/>
          <w:szCs w:val="22"/>
        </w:rPr>
        <w:t xml:space="preserve">İzmir </w:t>
      </w:r>
      <w:proofErr w:type="spellStart"/>
      <w:r w:rsidR="00C4145D">
        <w:rPr>
          <w:rFonts w:ascii="Arial Narrow" w:hAnsi="Arial Narrow" w:cs="Arial"/>
          <w:sz w:val="22"/>
          <w:szCs w:val="22"/>
        </w:rPr>
        <w:t>Ticaret</w:t>
      </w:r>
      <w:proofErr w:type="spellEnd"/>
      <w:r w:rsidR="00C414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C4145D">
        <w:rPr>
          <w:rFonts w:ascii="Arial Narrow" w:hAnsi="Arial Narrow" w:cs="Arial"/>
          <w:sz w:val="22"/>
          <w:szCs w:val="22"/>
        </w:rPr>
        <w:t>Borsası</w:t>
      </w:r>
      <w:proofErr w:type="spellEnd"/>
      <w:r w:rsidR="00C414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C4145D">
        <w:rPr>
          <w:rFonts w:ascii="Arial Narrow" w:hAnsi="Arial Narrow" w:cs="Arial"/>
          <w:sz w:val="22"/>
          <w:szCs w:val="22"/>
        </w:rPr>
        <w:t>Borsa</w:t>
      </w:r>
      <w:proofErr w:type="spellEnd"/>
      <w:r w:rsidR="00C414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C4145D">
        <w:rPr>
          <w:rFonts w:ascii="Arial Narrow" w:hAnsi="Arial Narrow" w:cs="Arial"/>
          <w:sz w:val="22"/>
          <w:szCs w:val="22"/>
        </w:rPr>
        <w:t>Sarayı’nın</w:t>
      </w:r>
      <w:proofErr w:type="spellEnd"/>
      <w:r w:rsidR="00C414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C4145D">
        <w:rPr>
          <w:rFonts w:ascii="Arial Narrow" w:hAnsi="Arial Narrow" w:cs="Arial"/>
          <w:sz w:val="22"/>
          <w:szCs w:val="22"/>
        </w:rPr>
        <w:t>restorasyon</w:t>
      </w:r>
      <w:proofErr w:type="spellEnd"/>
      <w:r w:rsidR="00C4145D">
        <w:rPr>
          <w:rFonts w:ascii="Arial Narrow" w:hAnsi="Arial Narrow" w:cs="Arial"/>
          <w:sz w:val="22"/>
          <w:szCs w:val="22"/>
        </w:rPr>
        <w:t xml:space="preserve"> ve </w:t>
      </w:r>
      <w:proofErr w:type="spellStart"/>
      <w:r w:rsidR="00C4145D">
        <w:rPr>
          <w:rFonts w:ascii="Arial Narrow" w:hAnsi="Arial Narrow" w:cs="Arial"/>
          <w:sz w:val="22"/>
          <w:szCs w:val="22"/>
        </w:rPr>
        <w:t>uygulama</w:t>
      </w:r>
      <w:proofErr w:type="spellEnd"/>
      <w:r w:rsidR="00C4145D">
        <w:rPr>
          <w:rFonts w:ascii="Arial Narrow" w:hAnsi="Arial Narrow" w:cs="Arial"/>
          <w:sz w:val="22"/>
          <w:szCs w:val="22"/>
        </w:rPr>
        <w:t xml:space="preserve"> ve </w:t>
      </w:r>
      <w:proofErr w:type="spellStart"/>
      <w:proofErr w:type="gramStart"/>
      <w:r w:rsidR="00C4145D">
        <w:rPr>
          <w:rFonts w:ascii="Arial Narrow" w:hAnsi="Arial Narrow" w:cs="Arial"/>
          <w:sz w:val="22"/>
          <w:szCs w:val="22"/>
        </w:rPr>
        <w:t>yapımına</w:t>
      </w:r>
      <w:proofErr w:type="spellEnd"/>
      <w:r w:rsidR="00C4145D">
        <w:rPr>
          <w:rFonts w:ascii="Arial Narrow" w:hAnsi="Arial Narrow" w:cs="Arial"/>
          <w:sz w:val="22"/>
          <w:szCs w:val="22"/>
        </w:rPr>
        <w:t xml:space="preserve"> </w:t>
      </w:r>
      <w:r w:rsidRPr="00C414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ilişkin</w:t>
      </w:r>
      <w:proofErr w:type="spellEnd"/>
      <w:proofErr w:type="gramEnd"/>
      <w:r w:rsidRPr="00C414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ihale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şartnamesinin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belirlenen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mimari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projeye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göre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;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teknik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idari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 ve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hukuki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olarak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ihaleye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çıkılacak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şekilde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eksiksiz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olarak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İhale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şartnamesinin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hazırlanması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ihale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süresi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teklif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süreci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 ve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tekliflerin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değerlendirilmesi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aşamalarında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danışmanlık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hizmeti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verilmesi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işlerine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ait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koşulları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okuduk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 ve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anladık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İşlerin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yapılacağı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yerleri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 ve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çevresini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gördük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herhangi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bir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ayrım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 ve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sınırlama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yapılmadan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bütün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şartları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proofErr w:type="gramStart"/>
      <w:r w:rsidRPr="00C4145D">
        <w:rPr>
          <w:rFonts w:ascii="Arial Narrow" w:hAnsi="Arial Narrow" w:cs="Arial"/>
          <w:sz w:val="22"/>
          <w:szCs w:val="22"/>
        </w:rPr>
        <w:t>kabul</w:t>
      </w:r>
      <w:proofErr w:type="spellEnd"/>
      <w:proofErr w:type="gramEnd"/>
      <w:r w:rsidRPr="00C4145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4145D">
        <w:rPr>
          <w:rFonts w:ascii="Arial Narrow" w:hAnsi="Arial Narrow" w:cs="Arial"/>
          <w:sz w:val="22"/>
          <w:szCs w:val="22"/>
        </w:rPr>
        <w:t>ediyoruz</w:t>
      </w:r>
      <w:proofErr w:type="spellEnd"/>
      <w:r w:rsidRPr="00C4145D">
        <w:rPr>
          <w:rFonts w:ascii="Arial Narrow" w:hAnsi="Arial Narrow" w:cs="Arial"/>
          <w:sz w:val="22"/>
          <w:szCs w:val="22"/>
        </w:rPr>
        <w:t xml:space="preserve">. </w:t>
      </w:r>
    </w:p>
    <w:p w14:paraId="350E0379" w14:textId="77777777" w:rsidR="0000741C" w:rsidRPr="00C4145D" w:rsidRDefault="0000741C" w:rsidP="0000741C">
      <w:pPr>
        <w:pStyle w:val="ListeParagraf"/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75A807EE" w14:textId="77777777" w:rsidR="0000741C" w:rsidRPr="00C4145D" w:rsidRDefault="0000741C" w:rsidP="0000741C">
      <w:pPr>
        <w:pStyle w:val="ListeParagraf"/>
        <w:ind w:left="720"/>
        <w:jc w:val="both"/>
        <w:rPr>
          <w:rFonts w:ascii="Arial Narrow" w:hAnsi="Arial Narrow" w:cs="Arial"/>
          <w:sz w:val="22"/>
          <w:szCs w:val="22"/>
        </w:rPr>
      </w:pPr>
    </w:p>
    <w:p w14:paraId="4A452088" w14:textId="77777777" w:rsidR="0000741C" w:rsidRPr="00C4145D" w:rsidRDefault="0000741C" w:rsidP="0000741C">
      <w:pPr>
        <w:pStyle w:val="ListeParagraf"/>
        <w:numPr>
          <w:ilvl w:val="1"/>
          <w:numId w:val="2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C4145D">
        <w:rPr>
          <w:rFonts w:ascii="Arial Narrow" w:hAnsi="Arial Narrow" w:cs="Arial"/>
          <w:sz w:val="22"/>
          <w:szCs w:val="22"/>
        </w:rPr>
        <w:t xml:space="preserve">Söz konusu işi KDV Dahil </w:t>
      </w:r>
      <w:proofErr w:type="gramStart"/>
      <w:r w:rsidRPr="00C4145D">
        <w:rPr>
          <w:rFonts w:ascii="Arial Narrow" w:hAnsi="Arial Narrow" w:cs="Arial"/>
          <w:sz w:val="22"/>
          <w:szCs w:val="22"/>
        </w:rPr>
        <w:t>..............................</w:t>
      </w:r>
      <w:proofErr w:type="gramEnd"/>
      <w:r w:rsidRPr="00C4145D">
        <w:rPr>
          <w:rFonts w:ascii="Arial Narrow" w:hAnsi="Arial Narrow" w:cs="Arial"/>
          <w:sz w:val="22"/>
          <w:szCs w:val="22"/>
        </w:rPr>
        <w:t>(.................................................) bedel üzerinden herhangi bir ek bedel talep etmeksizin yapmayı kabul ve taahhüt ederiz.</w:t>
      </w:r>
    </w:p>
    <w:p w14:paraId="58FDF0F9" w14:textId="77777777" w:rsidR="0000741C" w:rsidRPr="00C4145D" w:rsidRDefault="0000741C" w:rsidP="0000741C">
      <w:pPr>
        <w:pStyle w:val="ListeParagraf"/>
        <w:numPr>
          <w:ilvl w:val="1"/>
          <w:numId w:val="2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C4145D">
        <w:rPr>
          <w:rFonts w:ascii="Arial Narrow" w:hAnsi="Arial Narrow" w:cs="Arial"/>
          <w:sz w:val="22"/>
          <w:szCs w:val="22"/>
        </w:rPr>
        <w:t>Teklifimiz, ihale tarihinden itibaren</w:t>
      </w:r>
      <w:r w:rsidRPr="00C4145D">
        <w:rPr>
          <w:rFonts w:ascii="Arial Narrow" w:hAnsi="Arial Narrow"/>
          <w:color w:val="808080"/>
          <w:sz w:val="22"/>
          <w:szCs w:val="22"/>
        </w:rPr>
        <w:t xml:space="preserve"> </w:t>
      </w:r>
      <w:r w:rsidRPr="00C4145D">
        <w:rPr>
          <w:rFonts w:ascii="Arial Narrow" w:hAnsi="Arial Narrow" w:cs="Arial"/>
          <w:sz w:val="22"/>
          <w:szCs w:val="22"/>
        </w:rPr>
        <w:t>60 (altmış) takvim günü geçerlidir.</w:t>
      </w:r>
    </w:p>
    <w:p w14:paraId="21126C0E" w14:textId="77777777" w:rsidR="0000741C" w:rsidRPr="00C4145D" w:rsidRDefault="0000741C" w:rsidP="0000741C">
      <w:pPr>
        <w:pStyle w:val="ListeParagraf"/>
        <w:ind w:left="720"/>
        <w:rPr>
          <w:rFonts w:ascii="Arial Narrow" w:hAnsi="Arial Narrow" w:cs="Arial"/>
          <w:sz w:val="22"/>
          <w:szCs w:val="22"/>
        </w:rPr>
      </w:pPr>
    </w:p>
    <w:p w14:paraId="5AC828A1" w14:textId="77777777" w:rsidR="004F46EA" w:rsidRPr="00C4145D" w:rsidRDefault="004F46EA" w:rsidP="004F46EA">
      <w:pPr>
        <w:ind w:firstLine="540"/>
        <w:jc w:val="both"/>
        <w:rPr>
          <w:rFonts w:ascii="Arial Narrow" w:hAnsi="Arial Narrow" w:cs="Arial"/>
          <w:sz w:val="22"/>
          <w:szCs w:val="22"/>
          <w:lang w:val="tr-TR"/>
        </w:rPr>
      </w:pPr>
    </w:p>
    <w:p w14:paraId="4BCB96A2" w14:textId="77777777" w:rsidR="004F46EA" w:rsidRPr="00C4145D" w:rsidRDefault="004F46EA" w:rsidP="004F46EA">
      <w:pPr>
        <w:jc w:val="both"/>
        <w:rPr>
          <w:rFonts w:ascii="Arial Narrow" w:hAnsi="Arial Narrow"/>
          <w:sz w:val="22"/>
          <w:szCs w:val="22"/>
          <w:lang w:val="tr-TR"/>
        </w:rPr>
      </w:pPr>
    </w:p>
    <w:p w14:paraId="5C5E9F24" w14:textId="77777777" w:rsidR="00685FEA" w:rsidRPr="00C4145D" w:rsidRDefault="004F46EA">
      <w:pPr>
        <w:rPr>
          <w:rFonts w:ascii="Arial Narrow" w:hAnsi="Arial Narrow" w:cs="Arial"/>
          <w:sz w:val="22"/>
          <w:szCs w:val="22"/>
          <w:lang w:val="tr-TR"/>
        </w:rPr>
      </w:pPr>
      <w:r w:rsidRPr="00C4145D">
        <w:rPr>
          <w:rFonts w:ascii="Arial Narrow" w:hAnsi="Arial Narrow" w:cs="Arial"/>
          <w:sz w:val="22"/>
          <w:szCs w:val="22"/>
          <w:lang w:val="tr-TR"/>
        </w:rPr>
        <w:t>Saygılarımızla,</w:t>
      </w:r>
    </w:p>
    <w:p w14:paraId="350BFD33" w14:textId="77777777" w:rsidR="00C92A58" w:rsidRPr="00C4145D" w:rsidRDefault="00C92A58">
      <w:pPr>
        <w:rPr>
          <w:rFonts w:ascii="Arial Narrow" w:hAnsi="Arial Narrow" w:cs="Arial"/>
          <w:sz w:val="22"/>
          <w:szCs w:val="22"/>
          <w:lang w:val="tr-TR"/>
        </w:rPr>
      </w:pPr>
    </w:p>
    <w:p w14:paraId="27FD4E31" w14:textId="77777777" w:rsidR="00C92A58" w:rsidRPr="00C4145D" w:rsidRDefault="00C92A58" w:rsidP="00C92A58">
      <w:pPr>
        <w:pStyle w:val="Balk3"/>
        <w:rPr>
          <w:rFonts w:ascii="Arial Narrow" w:hAnsi="Arial Narrow"/>
          <w:sz w:val="22"/>
          <w:szCs w:val="22"/>
          <w:lang w:val="tr-TR"/>
        </w:rPr>
      </w:pPr>
    </w:p>
    <w:p w14:paraId="3BAD7E46" w14:textId="77777777" w:rsidR="00C92A58" w:rsidRPr="00C4145D" w:rsidRDefault="00C92A58">
      <w:pPr>
        <w:rPr>
          <w:rFonts w:ascii="Arial Narrow" w:hAnsi="Arial Narrow" w:cs="Arial"/>
          <w:sz w:val="22"/>
          <w:szCs w:val="22"/>
          <w:lang w:val="tr-TR"/>
        </w:rPr>
      </w:pPr>
    </w:p>
    <w:sectPr w:rsidR="00C92A58" w:rsidRPr="00C4145D" w:rsidSect="00A34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55482"/>
    <w:multiLevelType w:val="hybridMultilevel"/>
    <w:tmpl w:val="4FFABF28"/>
    <w:lvl w:ilvl="0" w:tplc="025251B8">
      <w:start w:val="1"/>
      <w:numFmt w:val="decimal"/>
      <w:lvlText w:val="%1-"/>
      <w:lvlJc w:val="left"/>
      <w:pPr>
        <w:ind w:left="1425" w:hanging="885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D2605E"/>
    <w:multiLevelType w:val="multilevel"/>
    <w:tmpl w:val="AC1E8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EA"/>
    <w:rsid w:val="0000741C"/>
    <w:rsid w:val="000240F4"/>
    <w:rsid w:val="0004457B"/>
    <w:rsid w:val="000636D1"/>
    <w:rsid w:val="0007630B"/>
    <w:rsid w:val="00105C53"/>
    <w:rsid w:val="00137DA5"/>
    <w:rsid w:val="00194D12"/>
    <w:rsid w:val="001B71A4"/>
    <w:rsid w:val="002212D1"/>
    <w:rsid w:val="0023143A"/>
    <w:rsid w:val="00234F1B"/>
    <w:rsid w:val="002672DE"/>
    <w:rsid w:val="0027717B"/>
    <w:rsid w:val="002E348A"/>
    <w:rsid w:val="002E3713"/>
    <w:rsid w:val="002F7BE9"/>
    <w:rsid w:val="003038DC"/>
    <w:rsid w:val="00362887"/>
    <w:rsid w:val="00417BC4"/>
    <w:rsid w:val="00421DAF"/>
    <w:rsid w:val="00427B63"/>
    <w:rsid w:val="004552E8"/>
    <w:rsid w:val="00463E3B"/>
    <w:rsid w:val="004706FA"/>
    <w:rsid w:val="00473BF7"/>
    <w:rsid w:val="00485336"/>
    <w:rsid w:val="004F46EA"/>
    <w:rsid w:val="00507F3E"/>
    <w:rsid w:val="00546E00"/>
    <w:rsid w:val="00551FCA"/>
    <w:rsid w:val="00557955"/>
    <w:rsid w:val="00585724"/>
    <w:rsid w:val="005F4771"/>
    <w:rsid w:val="005F4F7F"/>
    <w:rsid w:val="0061519A"/>
    <w:rsid w:val="0062202C"/>
    <w:rsid w:val="00643A70"/>
    <w:rsid w:val="00685FEA"/>
    <w:rsid w:val="007038B7"/>
    <w:rsid w:val="00703B53"/>
    <w:rsid w:val="00714ED8"/>
    <w:rsid w:val="00772508"/>
    <w:rsid w:val="007A4DD1"/>
    <w:rsid w:val="007C70C0"/>
    <w:rsid w:val="007F3F24"/>
    <w:rsid w:val="00810569"/>
    <w:rsid w:val="00963CBD"/>
    <w:rsid w:val="009A4AB6"/>
    <w:rsid w:val="009B6327"/>
    <w:rsid w:val="00A00EF8"/>
    <w:rsid w:val="00A345B6"/>
    <w:rsid w:val="00A922F4"/>
    <w:rsid w:val="00AA1592"/>
    <w:rsid w:val="00AA5DE8"/>
    <w:rsid w:val="00B003C0"/>
    <w:rsid w:val="00B06070"/>
    <w:rsid w:val="00B50E76"/>
    <w:rsid w:val="00B57665"/>
    <w:rsid w:val="00B65133"/>
    <w:rsid w:val="00B76DA5"/>
    <w:rsid w:val="00BC18EC"/>
    <w:rsid w:val="00BC2166"/>
    <w:rsid w:val="00BE7E80"/>
    <w:rsid w:val="00C07E06"/>
    <w:rsid w:val="00C22FBB"/>
    <w:rsid w:val="00C31D89"/>
    <w:rsid w:val="00C33345"/>
    <w:rsid w:val="00C40C70"/>
    <w:rsid w:val="00C4145D"/>
    <w:rsid w:val="00C468E1"/>
    <w:rsid w:val="00C92A58"/>
    <w:rsid w:val="00CB2116"/>
    <w:rsid w:val="00CD358F"/>
    <w:rsid w:val="00D13E84"/>
    <w:rsid w:val="00DD1E15"/>
    <w:rsid w:val="00DE0455"/>
    <w:rsid w:val="00DF2424"/>
    <w:rsid w:val="00E01454"/>
    <w:rsid w:val="00E57000"/>
    <w:rsid w:val="00E62319"/>
    <w:rsid w:val="00E646F2"/>
    <w:rsid w:val="00E95F93"/>
    <w:rsid w:val="00EB2F0F"/>
    <w:rsid w:val="00F00F0C"/>
    <w:rsid w:val="00F04421"/>
    <w:rsid w:val="00F54812"/>
    <w:rsid w:val="00F73F63"/>
    <w:rsid w:val="00FB3121"/>
    <w:rsid w:val="00FD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D874"/>
  <w15:docId w15:val="{6DCFE8E9-24E9-47F8-90DD-2AF18C06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92A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685FEA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46EA"/>
    <w:pPr>
      <w:spacing w:before="100" w:beforeAutospacing="1" w:after="100" w:afterAutospacing="1"/>
    </w:pPr>
    <w:rPr>
      <w:sz w:val="24"/>
      <w:szCs w:val="24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7F3F24"/>
    <w:rPr>
      <w:color w:val="0000FF"/>
      <w:u w:val="single"/>
    </w:rPr>
  </w:style>
  <w:style w:type="paragraph" w:customStyle="1" w:styleId="Default">
    <w:name w:val="Default"/>
    <w:rsid w:val="000636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locked/>
    <w:rsid w:val="004552E8"/>
    <w:rPr>
      <w:rFonts w:ascii="Tahoma" w:hAnsi="Tahoma" w:cs="Tahoma"/>
      <w:b/>
      <w:bCs/>
      <w:sz w:val="24"/>
      <w:szCs w:val="24"/>
    </w:rPr>
  </w:style>
  <w:style w:type="paragraph" w:styleId="KonuBal">
    <w:name w:val="Title"/>
    <w:basedOn w:val="Normal"/>
    <w:link w:val="KonuBalChar"/>
    <w:qFormat/>
    <w:rsid w:val="004552E8"/>
    <w:pPr>
      <w:spacing w:before="100" w:beforeAutospacing="1" w:after="100" w:afterAutospacing="1"/>
    </w:pPr>
    <w:rPr>
      <w:rFonts w:ascii="Tahoma" w:eastAsiaTheme="minorHAnsi" w:hAnsi="Tahoma" w:cs="Tahoma"/>
      <w:b/>
      <w:bCs/>
      <w:sz w:val="24"/>
      <w:szCs w:val="24"/>
      <w:lang w:val="tr-TR" w:eastAsia="en-US"/>
    </w:rPr>
  </w:style>
  <w:style w:type="character" w:customStyle="1" w:styleId="KonuBalChar1">
    <w:name w:val="Konu Başlığı Char1"/>
    <w:basedOn w:val="VarsaylanParagrafYazTipi"/>
    <w:uiPriority w:val="10"/>
    <w:rsid w:val="004552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tr-TR"/>
    </w:rPr>
  </w:style>
  <w:style w:type="character" w:customStyle="1" w:styleId="Balk5Char">
    <w:name w:val="Başlık 5 Char"/>
    <w:basedOn w:val="VarsaylanParagrafYazTipi"/>
    <w:link w:val="Balk5"/>
    <w:semiHidden/>
    <w:rsid w:val="00685F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92A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KOCATURK</dc:creator>
  <cp:lastModifiedBy>Zeki EREZ</cp:lastModifiedBy>
  <cp:revision>2</cp:revision>
  <dcterms:created xsi:type="dcterms:W3CDTF">2023-08-22T13:13:00Z</dcterms:created>
  <dcterms:modified xsi:type="dcterms:W3CDTF">2023-08-22T13:13:00Z</dcterms:modified>
</cp:coreProperties>
</file>