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5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2835"/>
        <w:gridCol w:w="2715"/>
        <w:gridCol w:w="1639"/>
        <w:gridCol w:w="1199"/>
      </w:tblGrid>
      <w:tr w:rsidR="00FD105A" w:rsidRPr="00F65820" w14:paraId="65DAF46A" w14:textId="77777777" w:rsidTr="00DC5DFE">
        <w:trPr>
          <w:trHeight w:val="20"/>
          <w:jc w:val="center"/>
        </w:trPr>
        <w:tc>
          <w:tcPr>
            <w:tcW w:w="90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DAF465" w14:textId="77777777" w:rsidR="00FD105A" w:rsidRPr="00F65820" w:rsidRDefault="00FD105A" w:rsidP="00613E5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  <w:p w14:paraId="65DAF466" w14:textId="77777777" w:rsidR="00FD105A" w:rsidRDefault="00FD105A" w:rsidP="000B6E5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F65820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Bazı Tarım Ürünlerinin İhracatına İlişkin Tebliğ (2022/1 ve 2022/2</w:t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 xml:space="preserve"> ve 2022/3</w:t>
            </w:r>
            <w:r w:rsidRPr="00F65820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)</w:t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 xml:space="preserve"> Kapsamında</w:t>
            </w:r>
          </w:p>
          <w:p w14:paraId="65DAF467" w14:textId="77777777" w:rsidR="00FD105A" w:rsidRDefault="00FD105A" w:rsidP="000B6E5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İHRACAT DÜZENLEMESİ DEVAM EDEN ÜRÜNLER</w:t>
            </w:r>
          </w:p>
          <w:p w14:paraId="65DAF468" w14:textId="77777777" w:rsidR="00FD105A" w:rsidRPr="00F65820" w:rsidRDefault="00FD105A" w:rsidP="000B6E5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(29.08.2022)</w:t>
            </w:r>
          </w:p>
          <w:p w14:paraId="65DAF469" w14:textId="77777777" w:rsidR="00FD105A" w:rsidRPr="00F65820" w:rsidRDefault="00FD105A" w:rsidP="00613E5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18308E" w:rsidRPr="00F65820" w14:paraId="65DAF471" w14:textId="77777777" w:rsidTr="0018308E">
        <w:trPr>
          <w:trHeight w:val="20"/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DAF46B" w14:textId="77777777" w:rsidR="0018308E" w:rsidRPr="00F65820" w:rsidRDefault="0018308E" w:rsidP="000B6E5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F6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DAF46C" w14:textId="77777777" w:rsidR="0018308E" w:rsidRPr="00F65820" w:rsidRDefault="0018308E" w:rsidP="000B6E5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6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G.T.İ</w:t>
            </w:r>
            <w:proofErr w:type="gramEnd"/>
            <w:r w:rsidRPr="00F6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.P</w:t>
            </w:r>
            <w:proofErr w:type="spellEnd"/>
            <w:r w:rsidRPr="00F6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./</w:t>
            </w:r>
            <w:proofErr w:type="spellStart"/>
            <w:r w:rsidRPr="00F6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G.T.P</w:t>
            </w:r>
            <w:proofErr w:type="spellEnd"/>
            <w:r w:rsidRPr="00F6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DAF46D" w14:textId="77777777" w:rsidR="0018308E" w:rsidRPr="00F65820" w:rsidRDefault="0018308E" w:rsidP="000B6E5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F6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Eşyanın Tanımı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DAF46E" w14:textId="77777777" w:rsidR="0018308E" w:rsidRDefault="0018308E" w:rsidP="000B6E5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6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Kısıtlama Tarihi</w:t>
            </w:r>
          </w:p>
          <w:p w14:paraId="65DAF46F" w14:textId="77777777" w:rsidR="0018308E" w:rsidRPr="00F65820" w:rsidRDefault="0018308E" w:rsidP="000B6E5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5DAF470" w14:textId="77777777" w:rsidR="0018308E" w:rsidRPr="00F65820" w:rsidRDefault="0018308E" w:rsidP="000B6E5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Güncel Durumu</w:t>
            </w:r>
          </w:p>
        </w:tc>
      </w:tr>
      <w:tr w:rsidR="0018308E" w:rsidRPr="00F65820" w14:paraId="65DAF477" w14:textId="77777777" w:rsidTr="0018308E">
        <w:trPr>
          <w:trHeight w:val="20"/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DAF472" w14:textId="77777777" w:rsidR="0018308E" w:rsidRPr="00F65820" w:rsidRDefault="0018308E" w:rsidP="000B6E5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F658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DAF473" w14:textId="77777777" w:rsidR="0018308E" w:rsidRPr="00DF66F9" w:rsidRDefault="0018308E" w:rsidP="000B6E5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DF66F9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07.13.33.90.00.19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DAF474" w14:textId="77777777" w:rsidR="0018308E" w:rsidRPr="00DF66F9" w:rsidRDefault="0018308E" w:rsidP="000B6E5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DF66F9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Adi fasulye (beyaz fasulye </w:t>
            </w:r>
            <w:proofErr w:type="gramStart"/>
            <w:r w:rsidRPr="00DF66F9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dahil</w:t>
            </w:r>
            <w:proofErr w:type="gramEnd"/>
            <w:r w:rsidRPr="00DF66F9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) (</w:t>
            </w:r>
            <w:proofErr w:type="spellStart"/>
            <w:r w:rsidRPr="00DF66F9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Phaseolus</w:t>
            </w:r>
            <w:proofErr w:type="spellEnd"/>
            <w:r w:rsidRPr="00DF66F9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 </w:t>
            </w:r>
            <w:proofErr w:type="spellStart"/>
            <w:r w:rsidRPr="00DF66F9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vulgaris</w:t>
            </w:r>
            <w:proofErr w:type="spellEnd"/>
            <w:r w:rsidRPr="00DF66F9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DAF475" w14:textId="77777777" w:rsidR="0018308E" w:rsidRPr="00DF66F9" w:rsidRDefault="0018308E" w:rsidP="0018308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F66F9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26.02.2022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DAF476" w14:textId="77777777" w:rsidR="0018308E" w:rsidRPr="00DF66F9" w:rsidRDefault="0018308E" w:rsidP="003C04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Kati ihracat yasağı devam etmektedir.</w:t>
            </w:r>
          </w:p>
        </w:tc>
      </w:tr>
      <w:tr w:rsidR="0018308E" w:rsidRPr="00F65820" w14:paraId="65DAF47D" w14:textId="77777777" w:rsidTr="0018308E">
        <w:trPr>
          <w:trHeight w:val="20"/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DAF478" w14:textId="77777777" w:rsidR="0018308E" w:rsidRPr="00F65820" w:rsidRDefault="0018308E" w:rsidP="000B6E5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F658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DAF479" w14:textId="77777777" w:rsidR="0018308E" w:rsidRPr="00DF66F9" w:rsidRDefault="0018308E" w:rsidP="000B6E5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DF66F9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0713.40.00.00.13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DAF47A" w14:textId="77777777" w:rsidR="0018308E" w:rsidRPr="00DF66F9" w:rsidRDefault="0018308E" w:rsidP="000B6E5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DF66F9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Kırmızı Mercimek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DAF47B" w14:textId="77777777" w:rsidR="0018308E" w:rsidRPr="00DF66F9" w:rsidRDefault="0018308E" w:rsidP="0018308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F66F9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26.02.2022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DAF47C" w14:textId="77777777" w:rsidR="0018308E" w:rsidRPr="00DF66F9" w:rsidRDefault="0018308E" w:rsidP="0018308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Kati ihracat yasağı devam etmektedir.</w:t>
            </w:r>
          </w:p>
        </w:tc>
      </w:tr>
      <w:tr w:rsidR="0018308E" w:rsidRPr="00F65820" w14:paraId="65DAF487" w14:textId="77777777" w:rsidTr="0018308E">
        <w:trPr>
          <w:trHeight w:val="1900"/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DAF47E" w14:textId="77777777" w:rsidR="0018308E" w:rsidRPr="00F65820" w:rsidRDefault="0018308E" w:rsidP="000B6E5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F658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DAF47F" w14:textId="77777777" w:rsidR="0018308E" w:rsidRDefault="0018308E" w:rsidP="00DF66F9">
            <w:pPr>
              <w:spacing w:after="0" w:line="240" w:lineRule="atLeast"/>
            </w:pPr>
            <w:r>
              <w:t xml:space="preserve">            1512.11.91.00.00,</w:t>
            </w:r>
          </w:p>
          <w:p w14:paraId="65DAF480" w14:textId="77777777" w:rsidR="0018308E" w:rsidRDefault="0018308E" w:rsidP="000B6E5D">
            <w:pPr>
              <w:spacing w:after="0" w:line="240" w:lineRule="atLeast"/>
              <w:jc w:val="center"/>
            </w:pPr>
            <w:r>
              <w:t>1512.19.90.00.11,</w:t>
            </w:r>
          </w:p>
          <w:p w14:paraId="65DAF481" w14:textId="77777777" w:rsidR="0018308E" w:rsidRDefault="0018308E" w:rsidP="000B6E5D">
            <w:pPr>
              <w:spacing w:after="0" w:line="240" w:lineRule="atLeast"/>
              <w:jc w:val="center"/>
            </w:pPr>
            <w:r>
              <w:t>1516.20.91.00.16</w:t>
            </w:r>
          </w:p>
          <w:p w14:paraId="65DAF482" w14:textId="77777777" w:rsidR="0018308E" w:rsidRPr="00DF66F9" w:rsidRDefault="0018308E" w:rsidP="000B6E5D">
            <w:pPr>
              <w:spacing w:after="0" w:line="240" w:lineRule="atLeast"/>
              <w:jc w:val="center"/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DAF483" w14:textId="77777777" w:rsidR="0018308E" w:rsidRPr="00DF66F9" w:rsidRDefault="0018308E" w:rsidP="00DF66F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DF66F9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Ayçiçeği tohumu</w:t>
            </w:r>
            <w:r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Yağı ve</w:t>
            </w:r>
            <w:r w:rsidRPr="00DF66F9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 </w:t>
            </w:r>
            <w:proofErr w:type="gramStart"/>
            <w:r w:rsidRPr="00DF66F9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fraksiyonları</w:t>
            </w:r>
            <w:proofErr w:type="gramEnd"/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DAF484" w14:textId="77777777" w:rsidR="0018308E" w:rsidRPr="00DF66F9" w:rsidRDefault="0018308E" w:rsidP="0018308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09.03.2022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5DAF485" w14:textId="77777777" w:rsidR="00CC69AE" w:rsidRDefault="00CC69AE" w:rsidP="003C04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  <w:p w14:paraId="65DAF486" w14:textId="77777777" w:rsidR="0018308E" w:rsidRDefault="0018308E" w:rsidP="003C04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Kati ihracat yasağı devam etmektedir.</w:t>
            </w:r>
          </w:p>
        </w:tc>
      </w:tr>
    </w:tbl>
    <w:p w14:paraId="65DAF488" w14:textId="77777777" w:rsidR="00724716" w:rsidRPr="00F65820" w:rsidRDefault="00724716">
      <w:pPr>
        <w:rPr>
          <w:rFonts w:ascii="Tahoma" w:hAnsi="Tahoma" w:cs="Tahoma"/>
        </w:rPr>
      </w:pPr>
    </w:p>
    <w:p w14:paraId="65DAF489" w14:textId="77777777" w:rsidR="00F65820" w:rsidRPr="001C0BE5" w:rsidRDefault="001C0B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İhracat Düzenlemesi Devam Eden ürünlerde </w:t>
      </w:r>
      <w:r w:rsidR="00682DD8" w:rsidRPr="001C0BE5">
        <w:rPr>
          <w:rFonts w:ascii="Times New Roman" w:hAnsi="Times New Roman" w:cs="Times New Roman"/>
          <w:b/>
          <w:sz w:val="24"/>
          <w:szCs w:val="24"/>
        </w:rPr>
        <w:t>Muafiyetler</w:t>
      </w:r>
      <w:r w:rsidR="00867AAA">
        <w:rPr>
          <w:rFonts w:ascii="Times New Roman" w:hAnsi="Times New Roman" w:cs="Times New Roman"/>
          <w:b/>
          <w:sz w:val="24"/>
          <w:szCs w:val="24"/>
        </w:rPr>
        <w:t xml:space="preserve"> aşağıda belirtilmiştir</w:t>
      </w:r>
      <w:r w:rsidR="00682DD8" w:rsidRPr="001C0BE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5DAF48A" w14:textId="77777777" w:rsidR="001C0BE5" w:rsidRPr="001C0BE5" w:rsidRDefault="001C0BE5" w:rsidP="00AC2813">
      <w:pPr>
        <w:pStyle w:val="ListeParagraf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C0BE5">
        <w:rPr>
          <w:rFonts w:ascii="Times New Roman" w:hAnsi="Times New Roman" w:cs="Times New Roman"/>
          <w:sz w:val="24"/>
          <w:szCs w:val="24"/>
        </w:rPr>
        <w:t>Kuzey Kıbrıs Türk Cumhuriyeti (KKTC)'ne yapılacak ihracat başvuruları,</w:t>
      </w:r>
    </w:p>
    <w:p w14:paraId="65DAF48B" w14:textId="77777777" w:rsidR="001C0BE5" w:rsidRPr="001C0BE5" w:rsidRDefault="001C0BE5" w:rsidP="00AC2813">
      <w:pPr>
        <w:pStyle w:val="ListeParagraf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C0BE5">
        <w:rPr>
          <w:rFonts w:ascii="Times New Roman" w:hAnsi="Times New Roman" w:cs="Times New Roman"/>
          <w:sz w:val="24"/>
          <w:szCs w:val="24"/>
        </w:rPr>
        <w:t>Suriye'de  güvenlik  altına  alınan  bölgelere  Türkiye  Tarım  Kredi  Kooperatifleri  ve  bağlı kuruluşları tarafından yapılacak ihracat başvuruları,</w:t>
      </w:r>
    </w:p>
    <w:p w14:paraId="65DAF48C" w14:textId="77777777" w:rsidR="001C0BE5" w:rsidRDefault="001C0BE5" w:rsidP="00AC2813">
      <w:pPr>
        <w:pStyle w:val="ListeParagraf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C0BE5">
        <w:rPr>
          <w:rFonts w:ascii="Times New Roman" w:hAnsi="Times New Roman" w:cs="Times New Roman"/>
          <w:sz w:val="24"/>
          <w:szCs w:val="24"/>
        </w:rPr>
        <w:t>AFAD, Kızılay veya diğer İnsani Yardım Kuruluşları ta</w:t>
      </w:r>
      <w:r w:rsidR="00AC2813">
        <w:rPr>
          <w:rFonts w:ascii="Times New Roman" w:hAnsi="Times New Roman" w:cs="Times New Roman"/>
          <w:sz w:val="24"/>
          <w:szCs w:val="24"/>
        </w:rPr>
        <w:t>rafından yapılacak ihracat başvu</w:t>
      </w:r>
      <w:r w:rsidRPr="001C0BE5">
        <w:rPr>
          <w:rFonts w:ascii="Times New Roman" w:hAnsi="Times New Roman" w:cs="Times New Roman"/>
          <w:sz w:val="24"/>
          <w:szCs w:val="24"/>
        </w:rPr>
        <w:t xml:space="preserve">ruları,  </w:t>
      </w:r>
    </w:p>
    <w:p w14:paraId="65DAF48D" w14:textId="77777777" w:rsidR="001C0BE5" w:rsidRDefault="001C0BE5" w:rsidP="00AC2813">
      <w:pPr>
        <w:pStyle w:val="ListeParagraf"/>
        <w:numPr>
          <w:ilvl w:val="0"/>
          <w:numId w:val="4"/>
        </w:numPr>
        <w:ind w:left="567" w:right="-142" w:hanging="567"/>
        <w:jc w:val="both"/>
        <w:rPr>
          <w:rFonts w:ascii="Times New Roman" w:hAnsi="Times New Roman" w:cs="Times New Roman"/>
          <w:sz w:val="24"/>
          <w:szCs w:val="24"/>
        </w:rPr>
      </w:pPr>
      <w:r w:rsidRPr="001C0BE5">
        <w:rPr>
          <w:rFonts w:ascii="Times New Roman" w:hAnsi="Times New Roman" w:cs="Times New Roman"/>
          <w:sz w:val="24"/>
          <w:szCs w:val="24"/>
        </w:rPr>
        <w:t xml:space="preserve">Denizlerimizden transit geçen ve ülkemiz limanlarına uğrayan yabancı bayraklı gemilerin iaşe ihtiyaçlarının karşılanması için gemi </w:t>
      </w:r>
      <w:proofErr w:type="spellStart"/>
      <w:r w:rsidRPr="001C0BE5">
        <w:rPr>
          <w:rFonts w:ascii="Times New Roman" w:hAnsi="Times New Roman" w:cs="Times New Roman"/>
          <w:sz w:val="24"/>
          <w:szCs w:val="24"/>
        </w:rPr>
        <w:t>kumanyacılığı</w:t>
      </w:r>
      <w:proofErr w:type="spellEnd"/>
      <w:r w:rsidRPr="001C0BE5">
        <w:rPr>
          <w:rFonts w:ascii="Times New Roman" w:hAnsi="Times New Roman" w:cs="Times New Roman"/>
          <w:sz w:val="24"/>
          <w:szCs w:val="24"/>
        </w:rPr>
        <w:t xml:space="preserve"> yapan firmalara gemi başına her bir ürün için en fazla 500 kg’a kadar yapılacak ihracat başvuruları, </w:t>
      </w:r>
    </w:p>
    <w:p w14:paraId="65DAF48E" w14:textId="77777777" w:rsidR="001C0BE5" w:rsidRPr="001C0BE5" w:rsidRDefault="001C0BE5" w:rsidP="00AC2813">
      <w:pPr>
        <w:pStyle w:val="ListeParagraf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C0BE5">
        <w:rPr>
          <w:rFonts w:ascii="Times New Roman" w:hAnsi="Times New Roman" w:cs="Times New Roman"/>
          <w:sz w:val="24"/>
          <w:szCs w:val="24"/>
        </w:rPr>
        <w:t xml:space="preserve">Filistin Devletine Yapılacak ihracat başvuruları, </w:t>
      </w:r>
    </w:p>
    <w:p w14:paraId="65DAF48F" w14:textId="77777777" w:rsidR="00867AAA" w:rsidRPr="00867AAA" w:rsidRDefault="00CC69AE" w:rsidP="00867AAA">
      <w:pPr>
        <w:pStyle w:val="ListeParagraf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867AAA">
        <w:rPr>
          <w:rFonts w:ascii="Times New Roman" w:hAnsi="Times New Roman"/>
          <w:sz w:val="24"/>
          <w:szCs w:val="24"/>
        </w:rPr>
        <w:t xml:space="preserve">lıcısı </w:t>
      </w:r>
      <w:r w:rsidR="00867AAA" w:rsidRPr="00867AAA">
        <w:rPr>
          <w:rFonts w:ascii="Times New Roman" w:hAnsi="Times New Roman"/>
          <w:sz w:val="24"/>
          <w:szCs w:val="24"/>
        </w:rPr>
        <w:t xml:space="preserve">BM, </w:t>
      </w:r>
      <w:proofErr w:type="spellStart"/>
      <w:r w:rsidR="00867AAA" w:rsidRPr="00867AAA">
        <w:rPr>
          <w:rFonts w:ascii="Times New Roman" w:hAnsi="Times New Roman"/>
          <w:sz w:val="24"/>
          <w:szCs w:val="24"/>
        </w:rPr>
        <w:t>WFP</w:t>
      </w:r>
      <w:proofErr w:type="spellEnd"/>
      <w:r w:rsidR="00867AAA" w:rsidRPr="00867AAA">
        <w:rPr>
          <w:rFonts w:ascii="Times New Roman" w:hAnsi="Times New Roman"/>
          <w:sz w:val="24"/>
          <w:szCs w:val="24"/>
        </w:rPr>
        <w:t xml:space="preserve"> ve Kızılhaç gibi insani yardım kuruluşu olan </w:t>
      </w:r>
      <w:r w:rsidR="00867AAA">
        <w:rPr>
          <w:rFonts w:ascii="Times New Roman" w:hAnsi="Times New Roman"/>
          <w:sz w:val="24"/>
          <w:szCs w:val="24"/>
        </w:rPr>
        <w:t>Ayçiçeği Tohumu Yağı</w:t>
      </w:r>
      <w:r>
        <w:rPr>
          <w:rFonts w:ascii="Times New Roman" w:hAnsi="Times New Roman"/>
          <w:sz w:val="24"/>
          <w:szCs w:val="24"/>
        </w:rPr>
        <w:t xml:space="preserve"> ihracat</w:t>
      </w:r>
      <w:r w:rsidR="00867AAA" w:rsidRPr="00867AAA">
        <w:rPr>
          <w:rFonts w:ascii="Times New Roman" w:hAnsi="Times New Roman"/>
          <w:sz w:val="24"/>
          <w:szCs w:val="24"/>
        </w:rPr>
        <w:t xml:space="preserve"> </w:t>
      </w:r>
      <w:r w:rsidR="00867AAA">
        <w:rPr>
          <w:rFonts w:ascii="Times New Roman" w:hAnsi="Times New Roman"/>
          <w:sz w:val="24"/>
          <w:szCs w:val="24"/>
        </w:rPr>
        <w:t>başvuruları,</w:t>
      </w:r>
    </w:p>
    <w:p w14:paraId="65DAF490" w14:textId="77777777" w:rsidR="00D34F99" w:rsidRDefault="001C0BE5" w:rsidP="00AC2813">
      <w:pPr>
        <w:pStyle w:val="ListeParagraf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C0BE5">
        <w:rPr>
          <w:rFonts w:ascii="Times New Roman" w:hAnsi="Times New Roman" w:cs="Times New Roman"/>
          <w:sz w:val="24"/>
          <w:szCs w:val="24"/>
        </w:rPr>
        <w:t xml:space="preserve">Organik Ürün Sertifikası bulunan ürünler için </w:t>
      </w:r>
      <w:r w:rsidR="00CC69AE">
        <w:rPr>
          <w:rFonts w:ascii="Times New Roman" w:hAnsi="Times New Roman" w:cs="Times New Roman"/>
          <w:sz w:val="24"/>
          <w:szCs w:val="24"/>
        </w:rPr>
        <w:t>yapılacak ihracat başvuruları,</w:t>
      </w:r>
    </w:p>
    <w:p w14:paraId="65DAF491" w14:textId="77777777" w:rsidR="00CC69AE" w:rsidRDefault="00CC69AE" w:rsidP="00AC2813">
      <w:pPr>
        <w:pStyle w:val="ListeParagraf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Dahilde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İşleme Rejimi </w:t>
      </w:r>
      <w:proofErr w:type="spellStart"/>
      <w:r>
        <w:rPr>
          <w:rFonts w:ascii="Times New Roman" w:hAnsi="Times New Roman" w:cs="Times New Roman"/>
          <w:sz w:val="24"/>
          <w:szCs w:val="24"/>
        </w:rPr>
        <w:t>Kapsamı’nda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yapılacak ihracat başvuruları,</w:t>
      </w:r>
    </w:p>
    <w:p w14:paraId="65DAF492" w14:textId="77777777" w:rsidR="00AC2813" w:rsidRPr="00CC69AE" w:rsidRDefault="00CC69AE" w:rsidP="00AC2813">
      <w:pPr>
        <w:pStyle w:val="ListeParagraf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İhracat düzenlemelerinden </w:t>
      </w:r>
      <w:r w:rsidR="00867AAA" w:rsidRPr="00CC69AE">
        <w:rPr>
          <w:rFonts w:ascii="Times New Roman" w:hAnsi="Times New Roman" w:cs="Times New Roman"/>
          <w:b/>
          <w:sz w:val="24"/>
          <w:szCs w:val="24"/>
        </w:rPr>
        <w:t xml:space="preserve">muaftır. </w:t>
      </w:r>
    </w:p>
    <w:sectPr w:rsidR="00AC2813" w:rsidRPr="00CC6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AF495" w14:textId="77777777" w:rsidR="007800C0" w:rsidRDefault="007800C0" w:rsidP="00BA2D09">
      <w:pPr>
        <w:spacing w:after="0" w:line="240" w:lineRule="auto"/>
      </w:pPr>
      <w:r>
        <w:separator/>
      </w:r>
    </w:p>
  </w:endnote>
  <w:endnote w:type="continuationSeparator" w:id="0">
    <w:p w14:paraId="65DAF496" w14:textId="77777777" w:rsidR="007800C0" w:rsidRDefault="007800C0" w:rsidP="00BA2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AF493" w14:textId="77777777" w:rsidR="007800C0" w:rsidRDefault="007800C0" w:rsidP="00BA2D09">
      <w:pPr>
        <w:spacing w:after="0" w:line="240" w:lineRule="auto"/>
      </w:pPr>
      <w:r>
        <w:separator/>
      </w:r>
    </w:p>
  </w:footnote>
  <w:footnote w:type="continuationSeparator" w:id="0">
    <w:p w14:paraId="65DAF494" w14:textId="77777777" w:rsidR="007800C0" w:rsidRDefault="007800C0" w:rsidP="00BA2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36AB"/>
    <w:multiLevelType w:val="hybridMultilevel"/>
    <w:tmpl w:val="ABF41FCA"/>
    <w:lvl w:ilvl="0" w:tplc="9D72B61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679CD"/>
    <w:multiLevelType w:val="hybridMultilevel"/>
    <w:tmpl w:val="053066DC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8612423"/>
    <w:multiLevelType w:val="hybridMultilevel"/>
    <w:tmpl w:val="7942633A"/>
    <w:lvl w:ilvl="0" w:tplc="CD20F4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2B73E9"/>
    <w:multiLevelType w:val="hybridMultilevel"/>
    <w:tmpl w:val="654A5888"/>
    <w:lvl w:ilvl="0" w:tplc="A248437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1E"/>
    <w:rsid w:val="00060FEB"/>
    <w:rsid w:val="000B6E5D"/>
    <w:rsid w:val="000C48F6"/>
    <w:rsid w:val="000F7312"/>
    <w:rsid w:val="0010243A"/>
    <w:rsid w:val="00107757"/>
    <w:rsid w:val="00137EFF"/>
    <w:rsid w:val="00167263"/>
    <w:rsid w:val="0017288F"/>
    <w:rsid w:val="0018308E"/>
    <w:rsid w:val="001C0BE5"/>
    <w:rsid w:val="0021554C"/>
    <w:rsid w:val="00254806"/>
    <w:rsid w:val="002B40BB"/>
    <w:rsid w:val="002D507F"/>
    <w:rsid w:val="00300CC6"/>
    <w:rsid w:val="00362804"/>
    <w:rsid w:val="00382122"/>
    <w:rsid w:val="00390DA0"/>
    <w:rsid w:val="003C047C"/>
    <w:rsid w:val="0051208E"/>
    <w:rsid w:val="00541101"/>
    <w:rsid w:val="00595C80"/>
    <w:rsid w:val="00602484"/>
    <w:rsid w:val="00613E51"/>
    <w:rsid w:val="006520B2"/>
    <w:rsid w:val="00680091"/>
    <w:rsid w:val="00682DD8"/>
    <w:rsid w:val="00691F01"/>
    <w:rsid w:val="006D02F9"/>
    <w:rsid w:val="00724716"/>
    <w:rsid w:val="00762172"/>
    <w:rsid w:val="007800C0"/>
    <w:rsid w:val="007B5D2C"/>
    <w:rsid w:val="008344CC"/>
    <w:rsid w:val="00867AAA"/>
    <w:rsid w:val="008E2B31"/>
    <w:rsid w:val="00927370"/>
    <w:rsid w:val="009523A1"/>
    <w:rsid w:val="00957AF1"/>
    <w:rsid w:val="009B633E"/>
    <w:rsid w:val="00A06864"/>
    <w:rsid w:val="00A5061E"/>
    <w:rsid w:val="00AC2813"/>
    <w:rsid w:val="00AE40CF"/>
    <w:rsid w:val="00BA2D09"/>
    <w:rsid w:val="00C761ED"/>
    <w:rsid w:val="00C8239F"/>
    <w:rsid w:val="00CB7119"/>
    <w:rsid w:val="00CC69AE"/>
    <w:rsid w:val="00CF38A0"/>
    <w:rsid w:val="00D10A71"/>
    <w:rsid w:val="00D34F99"/>
    <w:rsid w:val="00DA70D0"/>
    <w:rsid w:val="00DE0626"/>
    <w:rsid w:val="00DF66F9"/>
    <w:rsid w:val="00E51E6C"/>
    <w:rsid w:val="00F26DD1"/>
    <w:rsid w:val="00F65820"/>
    <w:rsid w:val="00F83698"/>
    <w:rsid w:val="00FD105A"/>
    <w:rsid w:val="00F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AF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0B6E5D"/>
  </w:style>
  <w:style w:type="character" w:customStyle="1" w:styleId="spelle">
    <w:name w:val="spelle"/>
    <w:basedOn w:val="VarsaylanParagrafYazTipi"/>
    <w:rsid w:val="000B6E5D"/>
  </w:style>
  <w:style w:type="paragraph" w:styleId="stbilgi">
    <w:name w:val="header"/>
    <w:basedOn w:val="Normal"/>
    <w:link w:val="stbilgiChar"/>
    <w:uiPriority w:val="99"/>
    <w:unhideWhenUsed/>
    <w:rsid w:val="00BA2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2D09"/>
  </w:style>
  <w:style w:type="paragraph" w:styleId="Altbilgi">
    <w:name w:val="footer"/>
    <w:basedOn w:val="Normal"/>
    <w:link w:val="AltbilgiChar"/>
    <w:uiPriority w:val="99"/>
    <w:unhideWhenUsed/>
    <w:rsid w:val="00BA2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2D09"/>
  </w:style>
  <w:style w:type="paragraph" w:styleId="BalonMetni">
    <w:name w:val="Balloon Text"/>
    <w:basedOn w:val="Normal"/>
    <w:link w:val="BalonMetniChar"/>
    <w:uiPriority w:val="99"/>
    <w:semiHidden/>
    <w:unhideWhenUsed/>
    <w:rsid w:val="00957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7AF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E6663"/>
    <w:pPr>
      <w:ind w:left="720"/>
      <w:contextualSpacing/>
    </w:pPr>
  </w:style>
  <w:style w:type="character" w:customStyle="1" w:styleId="yazi">
    <w:name w:val="yazi"/>
    <w:rsid w:val="00867AAA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0B6E5D"/>
  </w:style>
  <w:style w:type="character" w:customStyle="1" w:styleId="spelle">
    <w:name w:val="spelle"/>
    <w:basedOn w:val="VarsaylanParagrafYazTipi"/>
    <w:rsid w:val="000B6E5D"/>
  </w:style>
  <w:style w:type="paragraph" w:styleId="stbilgi">
    <w:name w:val="header"/>
    <w:basedOn w:val="Normal"/>
    <w:link w:val="stbilgiChar"/>
    <w:uiPriority w:val="99"/>
    <w:unhideWhenUsed/>
    <w:rsid w:val="00BA2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2D09"/>
  </w:style>
  <w:style w:type="paragraph" w:styleId="Altbilgi">
    <w:name w:val="footer"/>
    <w:basedOn w:val="Normal"/>
    <w:link w:val="AltbilgiChar"/>
    <w:uiPriority w:val="99"/>
    <w:unhideWhenUsed/>
    <w:rsid w:val="00BA2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2D09"/>
  </w:style>
  <w:style w:type="paragraph" w:styleId="BalonMetni">
    <w:name w:val="Balloon Text"/>
    <w:basedOn w:val="Normal"/>
    <w:link w:val="BalonMetniChar"/>
    <w:uiPriority w:val="99"/>
    <w:semiHidden/>
    <w:unhideWhenUsed/>
    <w:rsid w:val="00957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7AF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E6663"/>
    <w:pPr>
      <w:ind w:left="720"/>
      <w:contextualSpacing/>
    </w:pPr>
  </w:style>
  <w:style w:type="character" w:customStyle="1" w:styleId="yazi">
    <w:name w:val="yazi"/>
    <w:rsid w:val="00867AAA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KAYA</dc:creator>
  <cp:lastModifiedBy>Selin Sarılar</cp:lastModifiedBy>
  <cp:revision>2</cp:revision>
  <cp:lastPrinted>2022-03-10T14:55:00Z</cp:lastPrinted>
  <dcterms:created xsi:type="dcterms:W3CDTF">2022-09-05T10:41:00Z</dcterms:created>
  <dcterms:modified xsi:type="dcterms:W3CDTF">2022-09-05T10:41:00Z</dcterms:modified>
</cp:coreProperties>
</file>